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CCCF873">
      <w:pPr>
        <w:pStyle w:val="7"/>
        <w:numPr>
          <w:ilvl w:val="0"/>
          <w:numId w:val="1"/>
        </w:numPr>
        <w:adjustRightInd w:val="0"/>
        <w:snapToGrid w:val="0"/>
        <w:spacing w:line="360" w:lineRule="auto"/>
        <w:ind w:left="0" w:firstLineChars="0"/>
        <w:jc w:val="center"/>
        <w:outlineLvl w:val="1"/>
        <w:rPr>
          <w:rFonts w:hint="eastAsia" w:ascii="宋体" w:hAnsi="宋体"/>
          <w:b/>
          <w:bCs/>
          <w:sz w:val="32"/>
          <w:szCs w:val="32"/>
        </w:rPr>
      </w:pPr>
      <w:bookmarkStart w:id="0" w:name="_Ref5777"/>
      <w:bookmarkStart w:id="1" w:name="_Toc21899"/>
      <w:r>
        <w:rPr>
          <w:rFonts w:hint="eastAsia" w:ascii="宋体" w:hAnsi="宋体"/>
          <w:b/>
          <w:bCs/>
          <w:sz w:val="32"/>
          <w:szCs w:val="32"/>
        </w:rPr>
        <w:t>营业执照</w:t>
      </w:r>
      <w:bookmarkEnd w:id="0"/>
      <w:bookmarkEnd w:id="1"/>
    </w:p>
    <w:p w14:paraId="4CC743E5">
      <w:pPr>
        <w:widowControl/>
        <w:jc w:val="left"/>
      </w:pPr>
      <w:r>
        <w:drawing>
          <wp:inline distT="0" distB="0" distL="114300" distR="114300">
            <wp:extent cx="7396480" cy="5207635"/>
            <wp:effectExtent l="0" t="0" r="12065" b="13970"/>
            <wp:docPr id="4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7396480" cy="52076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145" w:name="_GoBack"/>
      <w:bookmarkEnd w:id="145"/>
    </w:p>
    <w:p w14:paraId="6E6444C4">
      <w:r>
        <w:br w:type="page"/>
      </w:r>
    </w:p>
    <w:p w14:paraId="2DC7ECCD">
      <w:pPr>
        <w:pStyle w:val="7"/>
        <w:numPr>
          <w:ilvl w:val="0"/>
          <w:numId w:val="1"/>
        </w:numPr>
        <w:adjustRightInd w:val="0"/>
        <w:snapToGrid w:val="0"/>
        <w:spacing w:line="360" w:lineRule="auto"/>
        <w:ind w:left="0" w:firstLineChars="0"/>
        <w:jc w:val="center"/>
        <w:outlineLvl w:val="1"/>
        <w:rPr>
          <w:rFonts w:hint="eastAsia" w:ascii="宋体" w:hAnsi="宋体"/>
          <w:b/>
          <w:bCs/>
          <w:sz w:val="32"/>
          <w:szCs w:val="32"/>
        </w:rPr>
      </w:pPr>
      <w:bookmarkStart w:id="2" w:name="_Ref6091"/>
      <w:bookmarkStart w:id="3" w:name="_Toc22796"/>
      <w:r>
        <w:rPr>
          <w:rFonts w:hint="eastAsia" w:ascii="宋体" w:hAnsi="宋体"/>
          <w:b/>
          <w:bCs/>
          <w:sz w:val="32"/>
          <w:szCs w:val="32"/>
          <w:lang w:val="en-US" w:eastAsia="zh-CN"/>
        </w:rPr>
        <w:t>税务所</w:t>
      </w:r>
      <w:r>
        <w:rPr>
          <w:rFonts w:hint="eastAsia" w:ascii="宋体" w:hAnsi="宋体"/>
          <w:b/>
          <w:bCs/>
          <w:sz w:val="32"/>
          <w:szCs w:val="32"/>
        </w:rPr>
        <w:t>简介</w:t>
      </w:r>
      <w:bookmarkEnd w:id="2"/>
      <w:bookmarkEnd w:id="3"/>
    </w:p>
    <w:p w14:paraId="69D4513B">
      <w:pPr>
        <w:widowControl/>
        <w:adjustRightInd w:val="0"/>
        <w:snapToGrid w:val="0"/>
        <w:spacing w:line="360" w:lineRule="auto"/>
        <w:ind w:firstLine="480" w:firstLineChars="200"/>
        <w:jc w:val="left"/>
        <w:rPr>
          <w:rFonts w:hint="eastAsia" w:ascii="宋体" w:hAnsi="宋体"/>
          <w:sz w:val="24"/>
        </w:rPr>
      </w:pPr>
      <w:r>
        <w:rPr>
          <w:rFonts w:hint="eastAsia" w:ascii="宋体" w:hAnsi="宋体"/>
          <w:sz w:val="24"/>
        </w:rPr>
        <w:t>大信穗安税务师事务所（广东）有限公司成立于</w:t>
      </w:r>
      <w:r>
        <w:rPr>
          <w:rFonts w:ascii="宋体" w:hAnsi="宋体"/>
          <w:sz w:val="24"/>
        </w:rPr>
        <w:t>2020年10月，是经国家税务总局核准设立的具有从事税务鉴证、税务服务资格的税务专业服务机构，</w:t>
      </w:r>
      <w:r>
        <w:rPr>
          <w:rFonts w:hint="eastAsia" w:ascii="宋体" w:hAnsi="宋体"/>
          <w:sz w:val="24"/>
        </w:rPr>
        <w:t>所有</w:t>
      </w:r>
      <w:r>
        <w:rPr>
          <w:rFonts w:ascii="宋体" w:hAnsi="宋体"/>
          <w:sz w:val="24"/>
        </w:rPr>
        <w:t>员工均具有本科或以上学历，</w:t>
      </w:r>
      <w:r>
        <w:rPr>
          <w:rFonts w:hint="eastAsia" w:ascii="宋体" w:hAnsi="宋体"/>
          <w:sz w:val="24"/>
        </w:rPr>
        <w:t>现有</w:t>
      </w:r>
      <w:r>
        <w:rPr>
          <w:rFonts w:ascii="宋体" w:hAnsi="宋体"/>
          <w:sz w:val="24"/>
        </w:rPr>
        <w:t>税务师</w:t>
      </w:r>
      <w:r>
        <w:rPr>
          <w:rFonts w:hint="eastAsia" w:ascii="宋体" w:hAnsi="宋体"/>
          <w:sz w:val="24"/>
        </w:rPr>
        <w:t>19</w:t>
      </w:r>
      <w:r>
        <w:rPr>
          <w:rFonts w:ascii="宋体" w:hAnsi="宋体"/>
          <w:sz w:val="24"/>
        </w:rPr>
        <w:t>人，拥有多位长年从事一线工作经验的税务专家和“注册会计师”、“注册税务师”结合的优秀业务精英。</w:t>
      </w:r>
    </w:p>
    <w:p w14:paraId="113D3FB2">
      <w:pPr>
        <w:widowControl/>
        <w:adjustRightInd w:val="0"/>
        <w:snapToGrid w:val="0"/>
        <w:spacing w:line="360" w:lineRule="auto"/>
        <w:ind w:firstLine="480" w:firstLineChars="200"/>
        <w:jc w:val="left"/>
        <w:rPr>
          <w:rFonts w:hint="eastAsia" w:ascii="宋体" w:hAnsi="宋体"/>
          <w:sz w:val="24"/>
        </w:rPr>
      </w:pPr>
      <w:r>
        <w:rPr>
          <w:rFonts w:hint="eastAsia" w:ascii="宋体" w:hAnsi="宋体"/>
          <w:sz w:val="24"/>
        </w:rPr>
        <w:t>公司设业务部、质控复核部、信息技术部、行政部、人事部、财务部、档案管理等部门，其关联公司有大信会计师事务所（特殊普通合伙）广州分所、中京民信（北京）资产评估有限公司、中大信（北京）工程咨询有限公司等等。</w:t>
      </w:r>
    </w:p>
    <w:p w14:paraId="75C13B6B">
      <w:pPr>
        <w:widowControl/>
        <w:adjustRightInd w:val="0"/>
        <w:snapToGrid w:val="0"/>
        <w:spacing w:line="360" w:lineRule="auto"/>
        <w:ind w:firstLine="480" w:firstLineChars="200"/>
        <w:jc w:val="left"/>
        <w:rPr>
          <w:rFonts w:hint="eastAsia" w:ascii="宋体" w:hAnsi="宋体"/>
          <w:sz w:val="24"/>
        </w:rPr>
      </w:pPr>
      <w:r>
        <w:rPr>
          <w:rFonts w:hint="eastAsia" w:ascii="宋体" w:hAnsi="宋体"/>
          <w:sz w:val="24"/>
        </w:rPr>
        <w:t>在未来的发展中，我们将继续秉承“大诚于人，信通天下”的企业文化，坚持“诚实做人，诚信执业，诚心服务”的职业理念，始终坚持独立、诚信、高效的执业原则，恪守职业道德和行业行为规范，以创新的思维为客户提供行之有效的定制式税务服务方案，协助客户应对并预测税务挑战与机遇，</w:t>
      </w:r>
      <w:r>
        <w:rPr>
          <w:rFonts w:ascii="宋体" w:hAnsi="宋体"/>
          <w:sz w:val="24"/>
        </w:rPr>
        <w:t>努力做大做强，为国内外客户提供更加优质、专业、高效的税务服务</w:t>
      </w:r>
      <w:r>
        <w:rPr>
          <w:rFonts w:hint="eastAsia" w:ascii="宋体" w:hAnsi="宋体"/>
          <w:sz w:val="24"/>
        </w:rPr>
        <w:t>。</w:t>
      </w:r>
    </w:p>
    <w:p w14:paraId="11117B13">
      <w:pPr>
        <w:pStyle w:val="7"/>
        <w:widowControl/>
        <w:numPr>
          <w:ilvl w:val="1"/>
          <w:numId w:val="2"/>
        </w:numPr>
        <w:adjustRightInd w:val="0"/>
        <w:snapToGrid w:val="0"/>
        <w:spacing w:line="360" w:lineRule="auto"/>
        <w:ind w:left="0" w:firstLine="0" w:firstLineChars="0"/>
        <w:outlineLvl w:val="3"/>
        <w:rPr>
          <w:rFonts w:hint="eastAsia" w:ascii="宋体" w:hAnsi="宋体"/>
          <w:b/>
          <w:bCs/>
          <w:sz w:val="28"/>
          <w:szCs w:val="28"/>
        </w:rPr>
      </w:pPr>
      <w:bookmarkStart w:id="4" w:name="_Toc7545"/>
      <w:bookmarkStart w:id="5" w:name="_Toc5854"/>
      <w:bookmarkStart w:id="6" w:name="_Toc13424"/>
      <w:bookmarkStart w:id="7" w:name="_Toc14724"/>
      <w:bookmarkStart w:id="8" w:name="_Toc29006"/>
      <w:bookmarkStart w:id="9" w:name="_Toc174718100"/>
      <w:bookmarkStart w:id="10" w:name="_Toc173143189"/>
      <w:bookmarkStart w:id="11" w:name="_Toc15932"/>
      <w:bookmarkStart w:id="12" w:name="_Toc174956637"/>
      <w:bookmarkStart w:id="13" w:name="_Toc8638"/>
      <w:r>
        <w:rPr>
          <w:rFonts w:hint="eastAsia" w:ascii="宋体" w:hAnsi="宋体"/>
          <w:b/>
          <w:bCs/>
          <w:sz w:val="28"/>
          <w:szCs w:val="28"/>
        </w:rPr>
        <w:t>公司执业优势</w:t>
      </w:r>
      <w:bookmarkEnd w:id="4"/>
      <w:bookmarkEnd w:id="5"/>
      <w:bookmarkEnd w:id="6"/>
      <w:bookmarkEnd w:id="7"/>
      <w:bookmarkEnd w:id="8"/>
      <w:bookmarkEnd w:id="9"/>
      <w:bookmarkEnd w:id="10"/>
      <w:bookmarkEnd w:id="11"/>
      <w:bookmarkEnd w:id="12"/>
      <w:bookmarkEnd w:id="13"/>
    </w:p>
    <w:p w14:paraId="66AB3D79">
      <w:pPr>
        <w:pStyle w:val="7"/>
        <w:widowControl/>
        <w:numPr>
          <w:ilvl w:val="1"/>
          <w:numId w:val="3"/>
        </w:numPr>
        <w:adjustRightInd w:val="0"/>
        <w:snapToGrid w:val="0"/>
        <w:spacing w:line="360" w:lineRule="auto"/>
        <w:ind w:left="420" w:firstLineChars="0"/>
        <w:jc w:val="left"/>
        <w:outlineLvl w:val="5"/>
        <w:rPr>
          <w:rFonts w:hint="eastAsia" w:ascii="宋体" w:hAnsi="宋体"/>
          <w:b/>
          <w:bCs/>
          <w:sz w:val="24"/>
        </w:rPr>
      </w:pPr>
      <w:bookmarkStart w:id="14" w:name="_Toc174957182"/>
      <w:bookmarkStart w:id="15" w:name="_Toc8400"/>
      <w:bookmarkStart w:id="16" w:name="_Toc21998"/>
      <w:bookmarkStart w:id="17" w:name="_Toc32295"/>
      <w:bookmarkStart w:id="18" w:name="_Toc27456"/>
      <w:bookmarkStart w:id="19" w:name="_Toc4243"/>
      <w:bookmarkStart w:id="20" w:name="_Toc173143190"/>
      <w:r>
        <w:rPr>
          <w:rFonts w:hint="eastAsia" w:ascii="宋体" w:hAnsi="宋体"/>
          <w:b/>
          <w:bCs/>
          <w:sz w:val="24"/>
        </w:rPr>
        <w:t>专业优势</w:t>
      </w:r>
      <w:bookmarkEnd w:id="14"/>
      <w:bookmarkEnd w:id="15"/>
      <w:bookmarkEnd w:id="16"/>
      <w:bookmarkEnd w:id="17"/>
      <w:bookmarkEnd w:id="18"/>
      <w:bookmarkEnd w:id="19"/>
      <w:bookmarkEnd w:id="20"/>
    </w:p>
    <w:p w14:paraId="5262464A">
      <w:pPr>
        <w:widowControl/>
        <w:adjustRightInd w:val="0"/>
        <w:snapToGrid w:val="0"/>
        <w:spacing w:line="360" w:lineRule="auto"/>
        <w:ind w:firstLine="480" w:firstLineChars="200"/>
        <w:jc w:val="left"/>
        <w:rPr>
          <w:rFonts w:hint="eastAsia" w:ascii="宋体" w:hAnsi="宋体"/>
          <w:sz w:val="24"/>
        </w:rPr>
      </w:pPr>
      <w:r>
        <w:rPr>
          <w:rFonts w:hint="eastAsia" w:ascii="宋体" w:hAnsi="宋体"/>
          <w:sz w:val="24"/>
        </w:rPr>
        <w:t>大信穗安税务所一向以优质服务为执业标准。在高效、专业的服务理念下，我们会详细了解客户个性化的税务需求，认真分析所面临的客观条件，通过比对筛选寻找出最优的解决方案，以帮助客户最大程度地控制税收风险，并通过合理的安排与筹划，为客户争取更多的税收利益。</w:t>
      </w:r>
    </w:p>
    <w:p w14:paraId="1F2F5DFA">
      <w:pPr>
        <w:pStyle w:val="7"/>
        <w:widowControl/>
        <w:numPr>
          <w:ilvl w:val="1"/>
          <w:numId w:val="3"/>
        </w:numPr>
        <w:adjustRightInd w:val="0"/>
        <w:snapToGrid w:val="0"/>
        <w:spacing w:line="360" w:lineRule="auto"/>
        <w:ind w:left="420" w:firstLineChars="0"/>
        <w:jc w:val="left"/>
        <w:outlineLvl w:val="5"/>
        <w:rPr>
          <w:rFonts w:hint="eastAsia" w:ascii="宋体" w:hAnsi="宋体"/>
          <w:b/>
          <w:bCs/>
          <w:sz w:val="24"/>
        </w:rPr>
      </w:pPr>
      <w:bookmarkStart w:id="21" w:name="_Toc12053"/>
      <w:bookmarkStart w:id="22" w:name="_Toc31693"/>
      <w:bookmarkStart w:id="23" w:name="_Toc12280"/>
      <w:bookmarkStart w:id="24" w:name="_Toc174957183"/>
      <w:bookmarkStart w:id="25" w:name="_Toc173143191"/>
      <w:bookmarkStart w:id="26" w:name="_Toc8181"/>
      <w:bookmarkStart w:id="27" w:name="_Toc565"/>
      <w:r>
        <w:rPr>
          <w:rFonts w:hint="eastAsia" w:ascii="宋体" w:hAnsi="宋体"/>
          <w:b/>
          <w:bCs/>
          <w:sz w:val="24"/>
        </w:rPr>
        <w:t>团队优势</w:t>
      </w:r>
      <w:bookmarkEnd w:id="21"/>
      <w:bookmarkEnd w:id="22"/>
      <w:bookmarkEnd w:id="23"/>
      <w:bookmarkEnd w:id="24"/>
      <w:bookmarkEnd w:id="25"/>
      <w:bookmarkEnd w:id="26"/>
      <w:bookmarkEnd w:id="27"/>
    </w:p>
    <w:p w14:paraId="7734F22B">
      <w:pPr>
        <w:widowControl/>
        <w:adjustRightInd w:val="0"/>
        <w:snapToGrid w:val="0"/>
        <w:spacing w:line="360" w:lineRule="auto"/>
        <w:ind w:firstLine="480" w:firstLineChars="200"/>
        <w:jc w:val="left"/>
        <w:rPr>
          <w:rFonts w:hint="eastAsia" w:ascii="宋体" w:hAnsi="宋体"/>
          <w:sz w:val="24"/>
        </w:rPr>
      </w:pPr>
      <w:r>
        <w:rPr>
          <w:rFonts w:hint="eastAsia" w:ascii="宋体" w:hAnsi="宋体"/>
          <w:sz w:val="24"/>
        </w:rPr>
        <w:t>我们的专业服务团队来自于资深税务师、注册会计师等专业人士，深谙中国大陆地区和国际通行的不同行业领域专业税务制度和法则，精确解读国内外税收政策，精准把控税务机关执法尺度，长期实践积累了丰富的职业经验与广泛的业界资源。</w:t>
      </w:r>
    </w:p>
    <w:p w14:paraId="453B5E39">
      <w:pPr>
        <w:pStyle w:val="7"/>
        <w:widowControl/>
        <w:numPr>
          <w:ilvl w:val="1"/>
          <w:numId w:val="3"/>
        </w:numPr>
        <w:adjustRightInd w:val="0"/>
        <w:snapToGrid w:val="0"/>
        <w:spacing w:line="360" w:lineRule="auto"/>
        <w:ind w:left="420" w:firstLineChars="0"/>
        <w:jc w:val="left"/>
        <w:outlineLvl w:val="5"/>
        <w:rPr>
          <w:rFonts w:hint="eastAsia" w:ascii="宋体" w:hAnsi="宋体"/>
          <w:b/>
          <w:bCs/>
          <w:sz w:val="24"/>
        </w:rPr>
      </w:pPr>
      <w:bookmarkStart w:id="28" w:name="_Toc174957184"/>
      <w:bookmarkStart w:id="29" w:name="_Toc15235"/>
      <w:bookmarkStart w:id="30" w:name="_Toc5107"/>
      <w:bookmarkStart w:id="31" w:name="_Toc4857"/>
      <w:bookmarkStart w:id="32" w:name="_Toc29630"/>
      <w:bookmarkStart w:id="33" w:name="_Toc173143192"/>
      <w:bookmarkStart w:id="34" w:name="_Toc7705"/>
      <w:r>
        <w:rPr>
          <w:rFonts w:hint="eastAsia" w:ascii="宋体" w:hAnsi="宋体"/>
          <w:b/>
          <w:bCs/>
          <w:sz w:val="24"/>
        </w:rPr>
        <w:t>职业优势</w:t>
      </w:r>
      <w:bookmarkEnd w:id="28"/>
      <w:bookmarkEnd w:id="29"/>
      <w:bookmarkEnd w:id="30"/>
      <w:bookmarkEnd w:id="31"/>
      <w:bookmarkEnd w:id="32"/>
      <w:bookmarkEnd w:id="33"/>
      <w:bookmarkEnd w:id="34"/>
    </w:p>
    <w:p w14:paraId="119A7B44">
      <w:pPr>
        <w:widowControl/>
        <w:adjustRightInd w:val="0"/>
        <w:snapToGrid w:val="0"/>
        <w:spacing w:line="360" w:lineRule="auto"/>
        <w:ind w:firstLine="480" w:firstLineChars="200"/>
        <w:jc w:val="left"/>
        <w:rPr>
          <w:rFonts w:hint="eastAsia" w:ascii="宋体" w:hAnsi="宋体"/>
          <w:sz w:val="24"/>
        </w:rPr>
      </w:pPr>
      <w:r>
        <w:rPr>
          <w:rFonts w:hint="eastAsia" w:ascii="宋体" w:hAnsi="宋体"/>
          <w:sz w:val="24"/>
        </w:rPr>
        <w:t>我们一直为大型国有企业提供常年税务咨询服务，包括但不限于改制、重组、收购中涉及的税收事项，先后为绿地集团（广东事业部）、白云山集团子公司等大型国有企业提供常年税务顾问服务，并就其经营过程中的涉税事项与税务机关沟通，为企业争取最大利益，受到企业的一致认可。</w:t>
      </w:r>
    </w:p>
    <w:p w14:paraId="6E7788E9">
      <w:pPr>
        <w:pStyle w:val="7"/>
        <w:widowControl/>
        <w:numPr>
          <w:ilvl w:val="1"/>
          <w:numId w:val="3"/>
        </w:numPr>
        <w:adjustRightInd w:val="0"/>
        <w:snapToGrid w:val="0"/>
        <w:spacing w:line="360" w:lineRule="auto"/>
        <w:ind w:left="420" w:firstLineChars="0"/>
        <w:jc w:val="left"/>
        <w:outlineLvl w:val="5"/>
        <w:rPr>
          <w:rFonts w:hint="eastAsia" w:ascii="宋体" w:hAnsi="宋体"/>
          <w:b/>
          <w:bCs/>
          <w:sz w:val="24"/>
        </w:rPr>
      </w:pPr>
      <w:bookmarkStart w:id="35" w:name="_Toc23848"/>
      <w:bookmarkStart w:id="36" w:name="_Toc18826"/>
      <w:bookmarkStart w:id="37" w:name="_Toc173143193"/>
      <w:bookmarkStart w:id="38" w:name="_Toc21628"/>
      <w:bookmarkStart w:id="39" w:name="_Toc4116"/>
      <w:bookmarkStart w:id="40" w:name="_Toc174957185"/>
      <w:bookmarkStart w:id="41" w:name="_Toc2806"/>
      <w:r>
        <w:rPr>
          <w:rFonts w:hint="eastAsia" w:ascii="宋体" w:hAnsi="宋体"/>
          <w:b/>
          <w:bCs/>
          <w:sz w:val="24"/>
        </w:rPr>
        <w:t>技术支持优势</w:t>
      </w:r>
      <w:bookmarkEnd w:id="35"/>
      <w:bookmarkEnd w:id="36"/>
      <w:bookmarkEnd w:id="37"/>
      <w:bookmarkEnd w:id="38"/>
      <w:bookmarkEnd w:id="39"/>
      <w:bookmarkEnd w:id="40"/>
      <w:bookmarkEnd w:id="41"/>
    </w:p>
    <w:p w14:paraId="7ACC4F19">
      <w:pPr>
        <w:widowControl/>
        <w:adjustRightInd w:val="0"/>
        <w:snapToGrid w:val="0"/>
        <w:spacing w:line="360" w:lineRule="auto"/>
        <w:ind w:firstLine="480" w:firstLineChars="200"/>
        <w:jc w:val="left"/>
        <w:rPr>
          <w:rFonts w:hint="eastAsia" w:ascii="宋体" w:hAnsi="宋体"/>
          <w:sz w:val="24"/>
        </w:rPr>
      </w:pPr>
      <w:r>
        <w:rPr>
          <w:rFonts w:hint="eastAsia" w:ascii="宋体" w:hAnsi="宋体"/>
          <w:sz w:val="24"/>
        </w:rPr>
        <w:t>大信会计师事务所（特殊普通合伙）作为全国排名前十的国内知名会计师事务所之一，与大信穗安税务所同属于大信旗下的专业公司，自古财税不分家，我们将为客户提供全方位的财税技术服务。</w:t>
      </w:r>
    </w:p>
    <w:p w14:paraId="0B03670C">
      <w:pPr>
        <w:pStyle w:val="7"/>
        <w:widowControl/>
        <w:numPr>
          <w:ilvl w:val="1"/>
          <w:numId w:val="3"/>
        </w:numPr>
        <w:adjustRightInd w:val="0"/>
        <w:snapToGrid w:val="0"/>
        <w:spacing w:line="360" w:lineRule="auto"/>
        <w:ind w:left="420" w:firstLineChars="0"/>
        <w:jc w:val="left"/>
        <w:outlineLvl w:val="5"/>
        <w:rPr>
          <w:rFonts w:hint="eastAsia" w:ascii="宋体" w:hAnsi="宋体"/>
          <w:b/>
          <w:bCs/>
          <w:sz w:val="24"/>
        </w:rPr>
      </w:pPr>
      <w:bookmarkStart w:id="42" w:name="_Toc4870"/>
      <w:bookmarkStart w:id="43" w:name="_Toc29829"/>
      <w:bookmarkStart w:id="44" w:name="_Toc174957186"/>
      <w:bookmarkStart w:id="45" w:name="_Toc12737"/>
      <w:bookmarkStart w:id="46" w:name="_Toc14962"/>
      <w:bookmarkStart w:id="47" w:name="_Toc173143194"/>
      <w:bookmarkStart w:id="48" w:name="_Toc20727"/>
      <w:r>
        <w:rPr>
          <w:rFonts w:hint="eastAsia" w:ascii="宋体" w:hAnsi="宋体"/>
          <w:b/>
          <w:bCs/>
          <w:sz w:val="24"/>
        </w:rPr>
        <w:t>质量优势</w:t>
      </w:r>
      <w:bookmarkEnd w:id="42"/>
      <w:bookmarkEnd w:id="43"/>
      <w:bookmarkEnd w:id="44"/>
      <w:bookmarkEnd w:id="45"/>
      <w:bookmarkEnd w:id="46"/>
      <w:bookmarkEnd w:id="47"/>
      <w:bookmarkEnd w:id="48"/>
    </w:p>
    <w:p w14:paraId="1C94FFAB">
      <w:pPr>
        <w:widowControl/>
        <w:adjustRightInd w:val="0"/>
        <w:snapToGrid w:val="0"/>
        <w:spacing w:line="360" w:lineRule="auto"/>
        <w:ind w:firstLine="480" w:firstLineChars="200"/>
        <w:jc w:val="left"/>
        <w:rPr>
          <w:rFonts w:hint="eastAsia" w:ascii="宋体" w:hAnsi="宋体"/>
          <w:sz w:val="24"/>
        </w:rPr>
      </w:pPr>
      <w:r>
        <w:rPr>
          <w:rFonts w:hint="eastAsia" w:ascii="宋体" w:hAnsi="宋体"/>
          <w:sz w:val="24"/>
        </w:rPr>
        <w:t>自公司成立开始，在专业胜任能力、执业质量等各方面我公司一直保持着良好的口碑，无任何不良记录。</w:t>
      </w:r>
    </w:p>
    <w:p w14:paraId="1B210177">
      <w:pPr>
        <w:pStyle w:val="8"/>
        <w:ind w:firstLine="480"/>
      </w:pPr>
    </w:p>
    <w:p w14:paraId="5C41EA80">
      <w:pPr>
        <w:pStyle w:val="7"/>
        <w:widowControl/>
        <w:numPr>
          <w:ilvl w:val="1"/>
          <w:numId w:val="2"/>
        </w:numPr>
        <w:adjustRightInd w:val="0"/>
        <w:snapToGrid w:val="0"/>
        <w:spacing w:line="360" w:lineRule="auto"/>
        <w:ind w:left="0" w:firstLine="0" w:firstLineChars="0"/>
        <w:outlineLvl w:val="3"/>
        <w:rPr>
          <w:rFonts w:hint="eastAsia" w:ascii="宋体" w:hAnsi="宋体"/>
          <w:b/>
          <w:bCs/>
          <w:sz w:val="28"/>
          <w:szCs w:val="28"/>
        </w:rPr>
      </w:pPr>
      <w:bookmarkStart w:id="49" w:name="_Toc173143195"/>
      <w:bookmarkStart w:id="50" w:name="_Toc13987"/>
      <w:bookmarkStart w:id="51" w:name="_Toc174956638"/>
      <w:bookmarkStart w:id="52" w:name="_Toc14888"/>
      <w:bookmarkStart w:id="53" w:name="_Toc174718101"/>
      <w:bookmarkStart w:id="54" w:name="_Toc1995"/>
      <w:bookmarkStart w:id="55" w:name="_Toc31698"/>
      <w:bookmarkStart w:id="56" w:name="_Toc38"/>
      <w:bookmarkStart w:id="57" w:name="_Toc2543"/>
      <w:bookmarkStart w:id="58" w:name="_Toc17112"/>
      <w:r>
        <w:rPr>
          <w:rFonts w:hint="eastAsia" w:ascii="宋体" w:hAnsi="宋体"/>
          <w:b/>
          <w:bCs/>
          <w:sz w:val="28"/>
          <w:szCs w:val="28"/>
        </w:rPr>
        <w:t>公司主要业务范围</w:t>
      </w:r>
      <w:bookmarkEnd w:id="49"/>
      <w:bookmarkEnd w:id="50"/>
      <w:bookmarkEnd w:id="51"/>
      <w:bookmarkEnd w:id="52"/>
      <w:bookmarkEnd w:id="53"/>
      <w:bookmarkEnd w:id="54"/>
      <w:bookmarkEnd w:id="55"/>
      <w:bookmarkEnd w:id="56"/>
      <w:bookmarkEnd w:id="57"/>
      <w:bookmarkEnd w:id="58"/>
    </w:p>
    <w:p w14:paraId="67CE1A26">
      <w:pPr>
        <w:pStyle w:val="7"/>
        <w:widowControl/>
        <w:numPr>
          <w:ilvl w:val="0"/>
          <w:numId w:val="4"/>
        </w:numPr>
        <w:adjustRightInd w:val="0"/>
        <w:snapToGrid w:val="0"/>
        <w:spacing w:line="360" w:lineRule="auto"/>
        <w:ind w:left="420" w:firstLineChars="0"/>
        <w:jc w:val="left"/>
        <w:outlineLvl w:val="5"/>
        <w:rPr>
          <w:rFonts w:hint="eastAsia" w:ascii="宋体" w:hAnsi="宋体"/>
          <w:b/>
          <w:bCs/>
          <w:sz w:val="24"/>
        </w:rPr>
      </w:pPr>
      <w:bookmarkStart w:id="59" w:name="_Toc11702"/>
      <w:bookmarkStart w:id="60" w:name="_Toc11948"/>
      <w:bookmarkStart w:id="61" w:name="_Toc174957188"/>
      <w:bookmarkStart w:id="62" w:name="_Toc15786"/>
      <w:bookmarkStart w:id="63" w:name="_Toc27443"/>
      <w:bookmarkStart w:id="64" w:name="_Toc173143196"/>
      <w:bookmarkStart w:id="65" w:name="_Toc22996"/>
      <w:r>
        <w:rPr>
          <w:rFonts w:ascii="宋体" w:hAnsi="宋体"/>
          <w:b/>
          <w:bCs/>
          <w:sz w:val="24"/>
        </w:rPr>
        <w:t>税务咨询</w:t>
      </w:r>
      <w:bookmarkEnd w:id="59"/>
      <w:bookmarkEnd w:id="60"/>
      <w:bookmarkEnd w:id="61"/>
      <w:bookmarkEnd w:id="62"/>
      <w:bookmarkEnd w:id="63"/>
      <w:bookmarkEnd w:id="64"/>
      <w:bookmarkEnd w:id="65"/>
    </w:p>
    <w:p w14:paraId="68CE01FD">
      <w:pPr>
        <w:widowControl/>
        <w:adjustRightInd w:val="0"/>
        <w:snapToGrid w:val="0"/>
        <w:spacing w:line="360" w:lineRule="auto"/>
        <w:ind w:firstLine="480" w:firstLineChars="200"/>
        <w:jc w:val="left"/>
        <w:rPr>
          <w:rFonts w:hint="eastAsia" w:ascii="宋体" w:hAnsi="宋体"/>
          <w:sz w:val="24"/>
        </w:rPr>
      </w:pPr>
      <w:r>
        <w:rPr>
          <w:rFonts w:hint="eastAsia" w:ascii="宋体" w:hAnsi="宋体"/>
          <w:sz w:val="24"/>
        </w:rPr>
        <w:t>应客户提出的要求，就税务专业知识方面提供的咨询服务，包括但不限于以下服务：</w:t>
      </w:r>
    </w:p>
    <w:p w14:paraId="422F2D1D">
      <w:pPr>
        <w:pStyle w:val="7"/>
        <w:widowControl/>
        <w:numPr>
          <w:ilvl w:val="0"/>
          <w:numId w:val="5"/>
        </w:numPr>
        <w:adjustRightInd w:val="0"/>
        <w:snapToGrid w:val="0"/>
        <w:spacing w:line="360" w:lineRule="auto"/>
        <w:ind w:left="704" w:firstLineChars="0"/>
        <w:jc w:val="left"/>
        <w:rPr>
          <w:rFonts w:hint="eastAsia" w:ascii="宋体" w:hAnsi="宋体"/>
          <w:b/>
          <w:bCs/>
          <w:sz w:val="24"/>
        </w:rPr>
      </w:pPr>
      <w:r>
        <w:rPr>
          <w:rFonts w:ascii="宋体" w:hAnsi="宋体"/>
          <w:b/>
          <w:bCs/>
          <w:sz w:val="24"/>
        </w:rPr>
        <w:t xml:space="preserve">常年（日常）税务顾问 </w:t>
      </w:r>
    </w:p>
    <w:p w14:paraId="26E28216">
      <w:pPr>
        <w:widowControl/>
        <w:adjustRightInd w:val="0"/>
        <w:snapToGrid w:val="0"/>
        <w:spacing w:line="360" w:lineRule="auto"/>
        <w:ind w:firstLine="480" w:firstLineChars="200"/>
        <w:jc w:val="left"/>
        <w:rPr>
          <w:rFonts w:hint="eastAsia" w:ascii="宋体" w:hAnsi="宋体"/>
          <w:sz w:val="24"/>
        </w:rPr>
      </w:pPr>
      <w:r>
        <w:rPr>
          <w:rFonts w:hint="eastAsia" w:ascii="宋体" w:hAnsi="宋体"/>
          <w:sz w:val="24"/>
        </w:rPr>
        <w:t>在客户应对日常经营决策等税务问题时，给予税收风险提示。由专职顾问为客户提供税务事项解答、税收法律法规咨询等服务。主要解决客户日常经营中的财税政策疑问，帮助企业及时获得最新财税文件并用好用足税收优惠政策；定期审核客户账务核算及纳税申报材料，定期对客户财税人员进行培训；参加客户重大经营会议，提出财税方面专业意见。税务顾问是为客户量身定制的专业化服务。</w:t>
      </w:r>
    </w:p>
    <w:p w14:paraId="5AA54395">
      <w:pPr>
        <w:pStyle w:val="7"/>
        <w:widowControl/>
        <w:numPr>
          <w:ilvl w:val="0"/>
          <w:numId w:val="5"/>
        </w:numPr>
        <w:adjustRightInd w:val="0"/>
        <w:snapToGrid w:val="0"/>
        <w:spacing w:line="360" w:lineRule="auto"/>
        <w:ind w:left="704" w:firstLineChars="0"/>
        <w:jc w:val="left"/>
        <w:rPr>
          <w:rFonts w:hint="eastAsia" w:ascii="宋体" w:hAnsi="宋体"/>
          <w:b/>
          <w:bCs/>
          <w:sz w:val="24"/>
        </w:rPr>
      </w:pPr>
      <w:r>
        <w:rPr>
          <w:rFonts w:ascii="宋体" w:hAnsi="宋体"/>
          <w:b/>
          <w:bCs/>
          <w:sz w:val="24"/>
        </w:rPr>
        <w:t xml:space="preserve">专项税务咨询 </w:t>
      </w:r>
    </w:p>
    <w:p w14:paraId="111E90CF">
      <w:pPr>
        <w:widowControl/>
        <w:adjustRightInd w:val="0"/>
        <w:snapToGrid w:val="0"/>
        <w:spacing w:line="360" w:lineRule="auto"/>
        <w:ind w:firstLine="480" w:firstLineChars="200"/>
        <w:jc w:val="left"/>
        <w:rPr>
          <w:rFonts w:hint="eastAsia" w:ascii="宋体" w:hAnsi="宋体"/>
          <w:sz w:val="24"/>
        </w:rPr>
      </w:pPr>
      <w:r>
        <w:rPr>
          <w:rFonts w:hint="eastAsia" w:ascii="宋体" w:hAnsi="宋体"/>
          <w:sz w:val="24"/>
        </w:rPr>
        <w:t>针对客户在重组并购、破产重整、资产收购或剥离等重大经营决策，在国家税收法律规定许可的范围内，通过对方案的事先规划和安排，优化并协助企业实施重组方案，协调重组过程中的税务处理，尽可能降低企业的税收成本，缓解企业的资金压力，实现整体方案最优化。</w:t>
      </w:r>
    </w:p>
    <w:p w14:paraId="5CA61B55">
      <w:pPr>
        <w:pStyle w:val="7"/>
        <w:widowControl/>
        <w:numPr>
          <w:ilvl w:val="0"/>
          <w:numId w:val="4"/>
        </w:numPr>
        <w:adjustRightInd w:val="0"/>
        <w:snapToGrid w:val="0"/>
        <w:spacing w:line="360" w:lineRule="auto"/>
        <w:ind w:left="420" w:firstLineChars="0"/>
        <w:jc w:val="left"/>
        <w:outlineLvl w:val="5"/>
        <w:rPr>
          <w:rFonts w:hint="eastAsia" w:ascii="宋体" w:hAnsi="宋体"/>
          <w:b/>
          <w:bCs/>
          <w:sz w:val="24"/>
        </w:rPr>
      </w:pPr>
      <w:bookmarkStart w:id="66" w:name="_Toc10156"/>
      <w:bookmarkStart w:id="67" w:name="_Toc23622"/>
      <w:bookmarkStart w:id="68" w:name="_Toc2272"/>
      <w:bookmarkStart w:id="69" w:name="_Toc173143197"/>
      <w:bookmarkStart w:id="70" w:name="_Toc28800"/>
      <w:bookmarkStart w:id="71" w:name="_Toc174957189"/>
      <w:bookmarkStart w:id="72" w:name="_Toc3862"/>
      <w:r>
        <w:rPr>
          <w:rFonts w:ascii="宋体" w:hAnsi="宋体"/>
          <w:b/>
          <w:bCs/>
          <w:sz w:val="24"/>
        </w:rPr>
        <w:t>重组（IPO）税务服务</w:t>
      </w:r>
      <w:bookmarkEnd w:id="66"/>
      <w:bookmarkEnd w:id="67"/>
      <w:bookmarkEnd w:id="68"/>
      <w:bookmarkEnd w:id="69"/>
      <w:bookmarkEnd w:id="70"/>
      <w:bookmarkEnd w:id="71"/>
      <w:bookmarkEnd w:id="72"/>
    </w:p>
    <w:p w14:paraId="6B736651">
      <w:pPr>
        <w:widowControl/>
        <w:adjustRightInd w:val="0"/>
        <w:snapToGrid w:val="0"/>
        <w:spacing w:line="360" w:lineRule="auto"/>
        <w:ind w:firstLine="480" w:firstLineChars="200"/>
        <w:jc w:val="left"/>
        <w:rPr>
          <w:rFonts w:hint="eastAsia" w:ascii="宋体" w:hAnsi="宋体"/>
          <w:sz w:val="24"/>
        </w:rPr>
      </w:pPr>
      <w:r>
        <w:rPr>
          <w:rFonts w:hint="eastAsia" w:ascii="宋体" w:hAnsi="宋体"/>
          <w:sz w:val="24"/>
        </w:rPr>
        <w:t>客户</w:t>
      </w:r>
      <w:r>
        <w:rPr>
          <w:rFonts w:ascii="宋体" w:hAnsi="宋体"/>
          <w:sz w:val="24"/>
        </w:rPr>
        <w:t>IPO辅导过程中面临众多税务问题。财务合规整改、持股平台设立、股权激励、引入战略投资者等都涉及税务处理，甚至税务处理直接决定着企业IPO的进程。我们致力于为客户提供IPO过程中的全流程税务专业服务，在遵守税收法律法规的前期下，优化方案，协助企业解决疑难问题，规避税务风险，尽享税收政策红利，协调企业IPO过程中的税务处理，降低企业的整体税收成本。</w:t>
      </w:r>
    </w:p>
    <w:p w14:paraId="4529147B">
      <w:pPr>
        <w:pStyle w:val="7"/>
        <w:widowControl/>
        <w:numPr>
          <w:ilvl w:val="0"/>
          <w:numId w:val="4"/>
        </w:numPr>
        <w:adjustRightInd w:val="0"/>
        <w:snapToGrid w:val="0"/>
        <w:spacing w:line="360" w:lineRule="auto"/>
        <w:ind w:left="420" w:firstLineChars="0"/>
        <w:jc w:val="left"/>
        <w:outlineLvl w:val="5"/>
        <w:rPr>
          <w:rFonts w:hint="eastAsia" w:ascii="宋体" w:hAnsi="宋体"/>
          <w:b/>
          <w:bCs/>
          <w:sz w:val="24"/>
        </w:rPr>
      </w:pPr>
      <w:bookmarkStart w:id="73" w:name="_Toc31677"/>
      <w:bookmarkStart w:id="74" w:name="_Toc174957190"/>
      <w:bookmarkStart w:id="75" w:name="_Toc10413"/>
      <w:bookmarkStart w:id="76" w:name="_Toc6529"/>
      <w:bookmarkStart w:id="77" w:name="_Toc31596"/>
      <w:bookmarkStart w:id="78" w:name="_Toc173143198"/>
      <w:bookmarkStart w:id="79" w:name="_Toc13134"/>
      <w:r>
        <w:rPr>
          <w:rFonts w:ascii="宋体" w:hAnsi="宋体"/>
          <w:b/>
          <w:bCs/>
          <w:sz w:val="24"/>
        </w:rPr>
        <w:t>财税合规</w:t>
      </w:r>
      <w:bookmarkEnd w:id="73"/>
      <w:bookmarkEnd w:id="74"/>
      <w:bookmarkEnd w:id="75"/>
      <w:bookmarkEnd w:id="76"/>
      <w:bookmarkEnd w:id="77"/>
      <w:bookmarkEnd w:id="78"/>
      <w:bookmarkEnd w:id="79"/>
    </w:p>
    <w:p w14:paraId="5403919E">
      <w:pPr>
        <w:widowControl/>
        <w:adjustRightInd w:val="0"/>
        <w:snapToGrid w:val="0"/>
        <w:spacing w:line="360" w:lineRule="auto"/>
        <w:ind w:firstLine="480" w:firstLineChars="200"/>
        <w:jc w:val="left"/>
        <w:rPr>
          <w:rFonts w:hint="eastAsia" w:ascii="宋体" w:hAnsi="宋体"/>
          <w:sz w:val="24"/>
        </w:rPr>
      </w:pPr>
      <w:r>
        <w:rPr>
          <w:rFonts w:hint="eastAsia" w:ascii="宋体" w:hAnsi="宋体"/>
          <w:sz w:val="24"/>
        </w:rPr>
        <w:t>由专家团队对客户发生日常业务的财税合规性进行综合审查，针对存在的问题或潜在风险提出管理建议及整改方案，解决客户未发现或没意识到的财务税收问题。在帮助客户确定适用会计政策的前提下，协助客户建立完善的财务核算制度和税务管理制度，帮助客户防范风险，降低财税成本，保障客户日常经营活动安全运营，为客户未来的重组并购或者</w:t>
      </w:r>
      <w:r>
        <w:rPr>
          <w:rFonts w:ascii="宋体" w:hAnsi="宋体"/>
          <w:sz w:val="24"/>
        </w:rPr>
        <w:t>IPO等事项奠定坚实的财税合规基础。</w:t>
      </w:r>
    </w:p>
    <w:p w14:paraId="27F6398F">
      <w:pPr>
        <w:pStyle w:val="7"/>
        <w:widowControl/>
        <w:numPr>
          <w:ilvl w:val="0"/>
          <w:numId w:val="4"/>
        </w:numPr>
        <w:adjustRightInd w:val="0"/>
        <w:snapToGrid w:val="0"/>
        <w:spacing w:line="360" w:lineRule="auto"/>
        <w:ind w:left="420" w:firstLineChars="0"/>
        <w:jc w:val="left"/>
        <w:outlineLvl w:val="5"/>
        <w:rPr>
          <w:rFonts w:hint="eastAsia" w:ascii="宋体" w:hAnsi="宋体"/>
          <w:b/>
          <w:bCs/>
          <w:sz w:val="24"/>
        </w:rPr>
      </w:pPr>
      <w:bookmarkStart w:id="80" w:name="_Toc174957191"/>
      <w:bookmarkStart w:id="81" w:name="_Toc30543"/>
      <w:bookmarkStart w:id="82" w:name="_Toc9265"/>
      <w:bookmarkStart w:id="83" w:name="_Toc17107"/>
      <w:bookmarkStart w:id="84" w:name="_Toc3829"/>
      <w:bookmarkStart w:id="85" w:name="_Toc10921"/>
      <w:bookmarkStart w:id="86" w:name="_Toc173143199"/>
      <w:r>
        <w:rPr>
          <w:rFonts w:ascii="宋体" w:hAnsi="宋体"/>
          <w:b/>
          <w:bCs/>
          <w:sz w:val="24"/>
        </w:rPr>
        <w:t>税务尽职调查</w:t>
      </w:r>
      <w:bookmarkEnd w:id="80"/>
      <w:bookmarkEnd w:id="81"/>
      <w:bookmarkEnd w:id="82"/>
      <w:bookmarkEnd w:id="83"/>
      <w:bookmarkEnd w:id="84"/>
      <w:bookmarkEnd w:id="85"/>
      <w:bookmarkEnd w:id="86"/>
    </w:p>
    <w:p w14:paraId="2C0AF0A7">
      <w:pPr>
        <w:widowControl/>
        <w:adjustRightInd w:val="0"/>
        <w:snapToGrid w:val="0"/>
        <w:spacing w:line="360" w:lineRule="auto"/>
        <w:ind w:firstLine="480" w:firstLineChars="200"/>
        <w:jc w:val="left"/>
        <w:rPr>
          <w:rFonts w:hint="eastAsia" w:ascii="宋体" w:hAnsi="宋体"/>
          <w:sz w:val="24"/>
        </w:rPr>
      </w:pPr>
      <w:r>
        <w:rPr>
          <w:rFonts w:hint="eastAsia" w:ascii="宋体" w:hAnsi="宋体"/>
          <w:sz w:val="24"/>
        </w:rPr>
        <w:t>接受客户委托，为客户的投资、并购等商业事务提供税务尽职调查服务，弥补法律尽职调查的不足，查找主要的税务隐患，降低企业的税务风险。</w:t>
      </w:r>
    </w:p>
    <w:p w14:paraId="3ABEF802">
      <w:pPr>
        <w:pStyle w:val="7"/>
        <w:widowControl/>
        <w:numPr>
          <w:ilvl w:val="0"/>
          <w:numId w:val="4"/>
        </w:numPr>
        <w:adjustRightInd w:val="0"/>
        <w:snapToGrid w:val="0"/>
        <w:spacing w:line="360" w:lineRule="auto"/>
        <w:ind w:left="420" w:firstLineChars="0"/>
        <w:jc w:val="left"/>
        <w:outlineLvl w:val="5"/>
        <w:rPr>
          <w:rFonts w:hint="eastAsia" w:ascii="宋体" w:hAnsi="宋体"/>
          <w:b/>
          <w:bCs/>
          <w:sz w:val="24"/>
        </w:rPr>
      </w:pPr>
      <w:bookmarkStart w:id="87" w:name="_Toc11433"/>
      <w:bookmarkStart w:id="88" w:name="_Toc24786"/>
      <w:bookmarkStart w:id="89" w:name="_Toc6398"/>
      <w:bookmarkStart w:id="90" w:name="_Toc173143200"/>
      <w:bookmarkStart w:id="91" w:name="_Toc25746"/>
      <w:bookmarkStart w:id="92" w:name="_Toc174957192"/>
      <w:bookmarkStart w:id="93" w:name="_Toc22758"/>
      <w:r>
        <w:rPr>
          <w:rFonts w:ascii="宋体" w:hAnsi="宋体"/>
          <w:b/>
          <w:bCs/>
          <w:sz w:val="24"/>
        </w:rPr>
        <w:t>税务策划</w:t>
      </w:r>
      <w:bookmarkEnd w:id="87"/>
      <w:bookmarkEnd w:id="88"/>
      <w:bookmarkEnd w:id="89"/>
      <w:bookmarkEnd w:id="90"/>
      <w:bookmarkEnd w:id="91"/>
      <w:bookmarkEnd w:id="92"/>
      <w:bookmarkEnd w:id="93"/>
    </w:p>
    <w:p w14:paraId="4B3D2730">
      <w:pPr>
        <w:widowControl/>
        <w:adjustRightInd w:val="0"/>
        <w:snapToGrid w:val="0"/>
        <w:spacing w:line="360" w:lineRule="auto"/>
        <w:ind w:firstLine="480" w:firstLineChars="200"/>
        <w:jc w:val="left"/>
        <w:rPr>
          <w:rFonts w:hint="eastAsia" w:ascii="宋体" w:hAnsi="宋体"/>
          <w:sz w:val="24"/>
        </w:rPr>
      </w:pPr>
      <w:r>
        <w:rPr>
          <w:rFonts w:hint="eastAsia" w:ascii="宋体" w:hAnsi="宋体"/>
          <w:sz w:val="24"/>
        </w:rPr>
        <w:t>在不违背税法立法精神的前提下，充分有效利用现行的税收法规和税收优惠政策，利用有效的组织技巧、贸易安排及运营方式，为企业系统地制定合规的税务优化规划，降低税务风险、达到税务负担最优化，促进企业经济效益的提高。包括但不限于企业整体税务策划、分税种分行业税务策划、分经济行为策划（设立、日常运营、投融资、注销、清算、收回投资等）等。</w:t>
      </w:r>
    </w:p>
    <w:p w14:paraId="04153AB4">
      <w:pPr>
        <w:pStyle w:val="7"/>
        <w:widowControl/>
        <w:numPr>
          <w:ilvl w:val="0"/>
          <w:numId w:val="4"/>
        </w:numPr>
        <w:adjustRightInd w:val="0"/>
        <w:snapToGrid w:val="0"/>
        <w:spacing w:line="360" w:lineRule="auto"/>
        <w:ind w:left="420" w:firstLineChars="0"/>
        <w:jc w:val="left"/>
        <w:outlineLvl w:val="5"/>
        <w:rPr>
          <w:rFonts w:hint="eastAsia" w:ascii="宋体" w:hAnsi="宋体"/>
          <w:b/>
          <w:bCs/>
          <w:sz w:val="24"/>
        </w:rPr>
      </w:pPr>
      <w:bookmarkStart w:id="94" w:name="_Toc174957193"/>
      <w:bookmarkStart w:id="95" w:name="_Toc2098"/>
      <w:bookmarkStart w:id="96" w:name="_Toc173143201"/>
      <w:bookmarkStart w:id="97" w:name="_Hlk187006908"/>
      <w:bookmarkStart w:id="98" w:name="_Toc174957194"/>
      <w:bookmarkStart w:id="99" w:name="_Toc5134"/>
      <w:bookmarkStart w:id="100" w:name="_Toc173143202"/>
      <w:bookmarkStart w:id="101" w:name="_Toc8121"/>
      <w:bookmarkStart w:id="102" w:name="_Toc9372"/>
      <w:bookmarkStart w:id="103" w:name="_Toc16758"/>
      <w:r>
        <w:rPr>
          <w:rFonts w:ascii="宋体" w:hAnsi="宋体"/>
          <w:b/>
          <w:bCs/>
          <w:sz w:val="24"/>
        </w:rPr>
        <w:t>税务</w:t>
      </w:r>
      <w:bookmarkEnd w:id="94"/>
      <w:bookmarkEnd w:id="95"/>
      <w:bookmarkEnd w:id="96"/>
      <w:r>
        <w:rPr>
          <w:rFonts w:hint="eastAsia" w:ascii="宋体" w:hAnsi="宋体"/>
          <w:b/>
          <w:bCs/>
          <w:sz w:val="24"/>
        </w:rPr>
        <w:t>审核</w:t>
      </w:r>
    </w:p>
    <w:p w14:paraId="3D79ABD6">
      <w:pPr>
        <w:widowControl/>
        <w:adjustRightInd w:val="0"/>
        <w:snapToGrid w:val="0"/>
        <w:spacing w:line="360" w:lineRule="auto"/>
        <w:ind w:firstLine="480" w:firstLineChars="200"/>
        <w:jc w:val="left"/>
        <w:rPr>
          <w:rFonts w:hint="eastAsia" w:ascii="宋体" w:hAnsi="宋体"/>
          <w:sz w:val="24"/>
        </w:rPr>
      </w:pPr>
      <w:r>
        <w:rPr>
          <w:rFonts w:hint="eastAsia" w:ascii="宋体" w:hAnsi="宋体"/>
          <w:sz w:val="24"/>
        </w:rPr>
        <w:t>在税收征收管理过程中，税务师事务所及税务师接受委托，对委托对象实施必要的审核程序，并出具审核报告，证明委托审核事项的真实性、合法性和完整性。包括但不限于以下服务：</w:t>
      </w:r>
    </w:p>
    <w:p w14:paraId="7FC1FD2A">
      <w:pPr>
        <w:pStyle w:val="7"/>
        <w:widowControl/>
        <w:numPr>
          <w:ilvl w:val="1"/>
          <w:numId w:val="6"/>
        </w:numPr>
        <w:adjustRightInd w:val="0"/>
        <w:snapToGrid w:val="0"/>
        <w:spacing w:line="360" w:lineRule="auto"/>
        <w:ind w:left="704" w:firstLineChars="0"/>
        <w:jc w:val="left"/>
        <w:rPr>
          <w:rFonts w:hint="eastAsia" w:ascii="宋体" w:hAnsi="宋体"/>
          <w:sz w:val="24"/>
        </w:rPr>
      </w:pPr>
      <w:r>
        <w:rPr>
          <w:rFonts w:hint="eastAsia" w:ascii="宋体" w:hAnsi="宋体"/>
          <w:sz w:val="24"/>
        </w:rPr>
        <w:t>企业所得税年度纳税申报</w:t>
      </w:r>
    </w:p>
    <w:p w14:paraId="501A3EF3">
      <w:pPr>
        <w:pStyle w:val="7"/>
        <w:widowControl/>
        <w:numPr>
          <w:ilvl w:val="1"/>
          <w:numId w:val="6"/>
        </w:numPr>
        <w:adjustRightInd w:val="0"/>
        <w:snapToGrid w:val="0"/>
        <w:spacing w:line="360" w:lineRule="auto"/>
        <w:ind w:left="704" w:firstLineChars="0"/>
        <w:jc w:val="left"/>
        <w:rPr>
          <w:rFonts w:hint="eastAsia" w:ascii="宋体" w:hAnsi="宋体"/>
          <w:sz w:val="24"/>
        </w:rPr>
      </w:pPr>
      <w:r>
        <w:rPr>
          <w:rFonts w:hint="eastAsia" w:ascii="宋体" w:hAnsi="宋体"/>
          <w:sz w:val="24"/>
        </w:rPr>
        <w:t>资产损失企业所得税税前扣除</w:t>
      </w:r>
    </w:p>
    <w:p w14:paraId="19EDD283">
      <w:pPr>
        <w:pStyle w:val="7"/>
        <w:widowControl/>
        <w:numPr>
          <w:ilvl w:val="1"/>
          <w:numId w:val="6"/>
        </w:numPr>
        <w:adjustRightInd w:val="0"/>
        <w:snapToGrid w:val="0"/>
        <w:spacing w:line="360" w:lineRule="auto"/>
        <w:ind w:left="704" w:firstLineChars="0"/>
        <w:jc w:val="left"/>
        <w:rPr>
          <w:rFonts w:hint="eastAsia" w:ascii="宋体" w:hAnsi="宋体"/>
          <w:sz w:val="24"/>
        </w:rPr>
      </w:pPr>
      <w:r>
        <w:rPr>
          <w:rFonts w:hint="eastAsia" w:ascii="宋体" w:hAnsi="宋体"/>
          <w:sz w:val="24"/>
        </w:rPr>
        <w:t>研究开发费加计扣除</w:t>
      </w:r>
    </w:p>
    <w:p w14:paraId="53B1A416">
      <w:pPr>
        <w:pStyle w:val="7"/>
        <w:widowControl/>
        <w:numPr>
          <w:ilvl w:val="1"/>
          <w:numId w:val="6"/>
        </w:numPr>
        <w:adjustRightInd w:val="0"/>
        <w:snapToGrid w:val="0"/>
        <w:spacing w:line="360" w:lineRule="auto"/>
        <w:ind w:left="704" w:firstLineChars="0"/>
        <w:jc w:val="left"/>
        <w:rPr>
          <w:rFonts w:hint="eastAsia" w:ascii="宋体" w:hAnsi="宋体"/>
          <w:sz w:val="24"/>
        </w:rPr>
      </w:pPr>
      <w:r>
        <w:rPr>
          <w:rFonts w:hint="eastAsia" w:ascii="宋体" w:hAnsi="宋体"/>
          <w:sz w:val="24"/>
        </w:rPr>
        <w:t>开发产品（成本对象）完工清算</w:t>
      </w:r>
    </w:p>
    <w:p w14:paraId="60F0B82E">
      <w:pPr>
        <w:pStyle w:val="7"/>
        <w:widowControl/>
        <w:numPr>
          <w:ilvl w:val="1"/>
          <w:numId w:val="6"/>
        </w:numPr>
        <w:adjustRightInd w:val="0"/>
        <w:snapToGrid w:val="0"/>
        <w:spacing w:line="360" w:lineRule="auto"/>
        <w:ind w:left="704" w:firstLineChars="0"/>
        <w:jc w:val="left"/>
        <w:rPr>
          <w:rFonts w:hint="eastAsia" w:ascii="宋体" w:hAnsi="宋体"/>
          <w:sz w:val="24"/>
        </w:rPr>
      </w:pPr>
      <w:r>
        <w:rPr>
          <w:rFonts w:hint="eastAsia" w:ascii="宋体" w:hAnsi="宋体"/>
          <w:sz w:val="24"/>
        </w:rPr>
        <w:t>土地增值税清算</w:t>
      </w:r>
    </w:p>
    <w:p w14:paraId="0DD6B4E6">
      <w:pPr>
        <w:pStyle w:val="7"/>
        <w:widowControl/>
        <w:numPr>
          <w:ilvl w:val="1"/>
          <w:numId w:val="6"/>
        </w:numPr>
        <w:adjustRightInd w:val="0"/>
        <w:snapToGrid w:val="0"/>
        <w:spacing w:line="360" w:lineRule="auto"/>
        <w:ind w:left="704" w:firstLineChars="0"/>
        <w:jc w:val="left"/>
        <w:rPr>
          <w:rFonts w:hint="eastAsia" w:ascii="宋体" w:hAnsi="宋体"/>
          <w:sz w:val="24"/>
        </w:rPr>
      </w:pPr>
      <w:r>
        <w:rPr>
          <w:rFonts w:hint="eastAsia" w:ascii="宋体" w:hAnsi="宋体"/>
          <w:sz w:val="24"/>
        </w:rPr>
        <w:t>企业注销清算</w:t>
      </w:r>
    </w:p>
    <w:p w14:paraId="00E69C86">
      <w:pPr>
        <w:pStyle w:val="7"/>
        <w:widowControl/>
        <w:numPr>
          <w:ilvl w:val="1"/>
          <w:numId w:val="6"/>
        </w:numPr>
        <w:adjustRightInd w:val="0"/>
        <w:snapToGrid w:val="0"/>
        <w:spacing w:line="360" w:lineRule="auto"/>
        <w:ind w:left="704" w:firstLineChars="0"/>
        <w:jc w:val="left"/>
        <w:rPr>
          <w:rFonts w:hint="eastAsia" w:ascii="宋体" w:hAnsi="宋体"/>
          <w:sz w:val="24"/>
        </w:rPr>
      </w:pPr>
      <w:r>
        <w:rPr>
          <w:rFonts w:hint="eastAsia" w:ascii="宋体" w:hAnsi="宋体"/>
          <w:sz w:val="24"/>
        </w:rPr>
        <w:t>个人所得税年度纳税申报</w:t>
      </w:r>
    </w:p>
    <w:p w14:paraId="2A0F604D">
      <w:pPr>
        <w:pStyle w:val="7"/>
        <w:widowControl/>
        <w:numPr>
          <w:ilvl w:val="1"/>
          <w:numId w:val="6"/>
        </w:numPr>
        <w:adjustRightInd w:val="0"/>
        <w:snapToGrid w:val="0"/>
        <w:spacing w:line="360" w:lineRule="auto"/>
        <w:ind w:left="704" w:firstLineChars="0"/>
        <w:jc w:val="left"/>
        <w:rPr>
          <w:rFonts w:hint="eastAsia" w:ascii="宋体" w:hAnsi="宋体"/>
          <w:sz w:val="24"/>
        </w:rPr>
      </w:pPr>
      <w:r>
        <w:rPr>
          <w:rFonts w:hint="eastAsia" w:ascii="宋体" w:hAnsi="宋体"/>
          <w:sz w:val="24"/>
        </w:rPr>
        <w:t>其他税务审核</w:t>
      </w:r>
    </w:p>
    <w:bookmarkEnd w:id="97"/>
    <w:p w14:paraId="2AEE367A">
      <w:pPr>
        <w:pStyle w:val="7"/>
        <w:widowControl/>
        <w:numPr>
          <w:ilvl w:val="0"/>
          <w:numId w:val="4"/>
        </w:numPr>
        <w:adjustRightInd w:val="0"/>
        <w:snapToGrid w:val="0"/>
        <w:spacing w:line="360" w:lineRule="auto"/>
        <w:ind w:left="420" w:firstLineChars="0"/>
        <w:jc w:val="left"/>
        <w:outlineLvl w:val="5"/>
        <w:rPr>
          <w:rFonts w:hint="eastAsia" w:ascii="宋体" w:hAnsi="宋体"/>
          <w:b/>
          <w:bCs/>
          <w:sz w:val="24"/>
        </w:rPr>
      </w:pPr>
      <w:bookmarkStart w:id="104" w:name="_Toc6008"/>
      <w:r>
        <w:rPr>
          <w:rFonts w:ascii="宋体" w:hAnsi="宋体"/>
          <w:b/>
          <w:bCs/>
          <w:sz w:val="24"/>
        </w:rPr>
        <w:t>税务代理（企业秘书服务）</w:t>
      </w:r>
      <w:bookmarkEnd w:id="98"/>
      <w:bookmarkEnd w:id="99"/>
      <w:bookmarkEnd w:id="100"/>
      <w:bookmarkEnd w:id="101"/>
      <w:bookmarkEnd w:id="102"/>
      <w:bookmarkEnd w:id="103"/>
      <w:bookmarkEnd w:id="104"/>
    </w:p>
    <w:p w14:paraId="0FACB6C2">
      <w:pPr>
        <w:widowControl/>
        <w:adjustRightInd w:val="0"/>
        <w:snapToGrid w:val="0"/>
        <w:spacing w:line="360" w:lineRule="auto"/>
        <w:ind w:firstLine="480" w:firstLineChars="200"/>
        <w:jc w:val="left"/>
        <w:rPr>
          <w:rFonts w:hint="eastAsia" w:ascii="宋体" w:hAnsi="宋体"/>
          <w:sz w:val="24"/>
        </w:rPr>
      </w:pPr>
      <w:r>
        <w:rPr>
          <w:rFonts w:hint="eastAsia" w:ascii="宋体" w:hAnsi="宋体"/>
          <w:sz w:val="24"/>
        </w:rPr>
        <w:t>接受企业委托，在法定的代理范围内依法代其办理相关企业托管服务事宜，包括但不限于以下服务：</w:t>
      </w:r>
    </w:p>
    <w:p w14:paraId="6FEBF6CB">
      <w:pPr>
        <w:pStyle w:val="7"/>
        <w:widowControl/>
        <w:numPr>
          <w:ilvl w:val="1"/>
          <w:numId w:val="6"/>
        </w:numPr>
        <w:adjustRightInd w:val="0"/>
        <w:snapToGrid w:val="0"/>
        <w:spacing w:line="360" w:lineRule="auto"/>
        <w:ind w:left="704" w:firstLineChars="0"/>
        <w:jc w:val="left"/>
        <w:rPr>
          <w:rFonts w:hint="eastAsia" w:ascii="宋体" w:hAnsi="宋体"/>
          <w:sz w:val="24"/>
        </w:rPr>
      </w:pPr>
      <w:r>
        <w:rPr>
          <w:rFonts w:hint="eastAsia" w:ascii="宋体" w:hAnsi="宋体"/>
          <w:sz w:val="24"/>
        </w:rPr>
        <w:t>办理、变更、注销工商、税务、银行等行政登记</w:t>
      </w:r>
    </w:p>
    <w:p w14:paraId="4A67C8C9">
      <w:pPr>
        <w:pStyle w:val="7"/>
        <w:widowControl/>
        <w:numPr>
          <w:ilvl w:val="1"/>
          <w:numId w:val="6"/>
        </w:numPr>
        <w:adjustRightInd w:val="0"/>
        <w:snapToGrid w:val="0"/>
        <w:spacing w:line="360" w:lineRule="auto"/>
        <w:ind w:left="704" w:firstLineChars="0"/>
        <w:jc w:val="left"/>
        <w:rPr>
          <w:rFonts w:hint="eastAsia" w:ascii="宋体" w:hAnsi="宋体"/>
          <w:sz w:val="24"/>
        </w:rPr>
      </w:pPr>
      <w:r>
        <w:rPr>
          <w:rFonts w:hint="eastAsia" w:ascii="宋体" w:hAnsi="宋体"/>
          <w:sz w:val="24"/>
        </w:rPr>
        <w:t>办理纳税申报或扣缴税款报告</w:t>
      </w:r>
    </w:p>
    <w:p w14:paraId="0A8EB2FF">
      <w:pPr>
        <w:pStyle w:val="7"/>
        <w:widowControl/>
        <w:numPr>
          <w:ilvl w:val="1"/>
          <w:numId w:val="6"/>
        </w:numPr>
        <w:adjustRightInd w:val="0"/>
        <w:snapToGrid w:val="0"/>
        <w:spacing w:line="360" w:lineRule="auto"/>
        <w:ind w:left="704" w:firstLineChars="0"/>
        <w:jc w:val="left"/>
        <w:rPr>
          <w:rFonts w:hint="eastAsia" w:ascii="宋体" w:hAnsi="宋体"/>
          <w:sz w:val="24"/>
        </w:rPr>
      </w:pPr>
      <w:r>
        <w:rPr>
          <w:rFonts w:hint="eastAsia" w:ascii="宋体" w:hAnsi="宋体"/>
          <w:sz w:val="24"/>
        </w:rPr>
        <w:t>申请减税、免税、退税、补税和延期缴税</w:t>
      </w:r>
    </w:p>
    <w:p w14:paraId="1F758A4D">
      <w:pPr>
        <w:pStyle w:val="7"/>
        <w:widowControl/>
        <w:numPr>
          <w:ilvl w:val="1"/>
          <w:numId w:val="6"/>
        </w:numPr>
        <w:adjustRightInd w:val="0"/>
        <w:snapToGrid w:val="0"/>
        <w:spacing w:line="360" w:lineRule="auto"/>
        <w:ind w:left="704" w:firstLineChars="0"/>
        <w:jc w:val="left"/>
        <w:rPr>
          <w:rFonts w:hint="eastAsia" w:ascii="宋体" w:hAnsi="宋体"/>
          <w:sz w:val="24"/>
        </w:rPr>
      </w:pPr>
      <w:r>
        <w:rPr>
          <w:rFonts w:hint="eastAsia" w:ascii="宋体" w:hAnsi="宋体"/>
          <w:sz w:val="24"/>
        </w:rPr>
        <w:t>制作工商、涉税、银行涉及文书</w:t>
      </w:r>
    </w:p>
    <w:p w14:paraId="7B475F25">
      <w:pPr>
        <w:pStyle w:val="7"/>
        <w:widowControl/>
        <w:numPr>
          <w:ilvl w:val="1"/>
          <w:numId w:val="6"/>
        </w:numPr>
        <w:adjustRightInd w:val="0"/>
        <w:snapToGrid w:val="0"/>
        <w:spacing w:line="360" w:lineRule="auto"/>
        <w:ind w:left="704" w:firstLineChars="0"/>
        <w:jc w:val="left"/>
        <w:rPr>
          <w:rFonts w:hint="eastAsia" w:ascii="宋体" w:hAnsi="宋体"/>
          <w:sz w:val="24"/>
        </w:rPr>
      </w:pPr>
      <w:r>
        <w:rPr>
          <w:rFonts w:hint="eastAsia" w:ascii="宋体" w:hAnsi="宋体"/>
          <w:sz w:val="24"/>
        </w:rPr>
        <w:t>进行工商、税务、银行检查</w:t>
      </w:r>
    </w:p>
    <w:p w14:paraId="7C1A10F7">
      <w:pPr>
        <w:pStyle w:val="7"/>
        <w:widowControl/>
        <w:numPr>
          <w:ilvl w:val="1"/>
          <w:numId w:val="6"/>
        </w:numPr>
        <w:adjustRightInd w:val="0"/>
        <w:snapToGrid w:val="0"/>
        <w:spacing w:line="360" w:lineRule="auto"/>
        <w:ind w:left="704" w:firstLineChars="0"/>
        <w:jc w:val="left"/>
        <w:rPr>
          <w:rFonts w:hint="eastAsia" w:ascii="宋体" w:hAnsi="宋体"/>
          <w:sz w:val="24"/>
        </w:rPr>
      </w:pPr>
      <w:r>
        <w:rPr>
          <w:rFonts w:ascii="宋体" w:hAnsi="宋体"/>
          <w:sz w:val="24"/>
        </w:rPr>
        <w:t>建账建制，办理账务</w:t>
      </w:r>
    </w:p>
    <w:p w14:paraId="0F09BDC2">
      <w:pPr>
        <w:pStyle w:val="7"/>
        <w:widowControl/>
        <w:numPr>
          <w:ilvl w:val="1"/>
          <w:numId w:val="6"/>
        </w:numPr>
        <w:adjustRightInd w:val="0"/>
        <w:snapToGrid w:val="0"/>
        <w:spacing w:line="360" w:lineRule="auto"/>
        <w:ind w:left="704" w:firstLineChars="0"/>
        <w:jc w:val="left"/>
        <w:rPr>
          <w:rFonts w:hint="eastAsia" w:ascii="宋体" w:hAnsi="宋体"/>
          <w:sz w:val="24"/>
        </w:rPr>
      </w:pPr>
      <w:r>
        <w:rPr>
          <w:rFonts w:hint="eastAsia" w:ascii="宋体" w:hAnsi="宋体"/>
          <w:sz w:val="24"/>
        </w:rPr>
        <w:t>税务行政复议代理及行政诉讼代理</w:t>
      </w:r>
    </w:p>
    <w:p w14:paraId="03C16FDB">
      <w:pPr>
        <w:pStyle w:val="7"/>
        <w:widowControl/>
        <w:numPr>
          <w:ilvl w:val="1"/>
          <w:numId w:val="6"/>
        </w:numPr>
        <w:adjustRightInd w:val="0"/>
        <w:snapToGrid w:val="0"/>
        <w:spacing w:line="360" w:lineRule="auto"/>
        <w:ind w:left="704" w:firstLineChars="0"/>
        <w:jc w:val="left"/>
        <w:rPr>
          <w:rFonts w:hint="eastAsia" w:ascii="宋体" w:hAnsi="宋体"/>
          <w:sz w:val="24"/>
        </w:rPr>
      </w:pPr>
      <w:r>
        <w:rPr>
          <w:rFonts w:hint="eastAsia" w:ascii="宋体" w:hAnsi="宋体"/>
          <w:sz w:val="24"/>
        </w:rPr>
        <w:t>根据客户的特殊需求，定制化的税务代理</w:t>
      </w:r>
    </w:p>
    <w:p w14:paraId="2EECD6C3">
      <w:pPr>
        <w:pStyle w:val="7"/>
        <w:widowControl/>
        <w:numPr>
          <w:ilvl w:val="0"/>
          <w:numId w:val="4"/>
        </w:numPr>
        <w:adjustRightInd w:val="0"/>
        <w:snapToGrid w:val="0"/>
        <w:spacing w:line="360" w:lineRule="auto"/>
        <w:ind w:left="420" w:firstLineChars="0"/>
        <w:jc w:val="left"/>
        <w:outlineLvl w:val="5"/>
        <w:rPr>
          <w:rFonts w:hint="eastAsia" w:ascii="宋体" w:hAnsi="宋体"/>
          <w:b/>
          <w:bCs/>
          <w:sz w:val="24"/>
        </w:rPr>
      </w:pPr>
      <w:bookmarkStart w:id="105" w:name="_Toc173143203"/>
      <w:bookmarkStart w:id="106" w:name="_Toc13697"/>
      <w:bookmarkStart w:id="107" w:name="_Toc4362"/>
      <w:bookmarkStart w:id="108" w:name="_Toc174957195"/>
      <w:bookmarkStart w:id="109" w:name="_Toc5335"/>
      <w:bookmarkStart w:id="110" w:name="_Toc26315"/>
      <w:bookmarkStart w:id="111" w:name="_Toc6347"/>
      <w:r>
        <w:rPr>
          <w:rFonts w:ascii="宋体" w:hAnsi="宋体"/>
          <w:b/>
          <w:bCs/>
          <w:sz w:val="24"/>
        </w:rPr>
        <w:t>企税争议解决</w:t>
      </w:r>
      <w:bookmarkEnd w:id="105"/>
      <w:bookmarkEnd w:id="106"/>
      <w:bookmarkEnd w:id="107"/>
      <w:bookmarkEnd w:id="108"/>
      <w:bookmarkEnd w:id="109"/>
      <w:bookmarkEnd w:id="110"/>
      <w:bookmarkEnd w:id="111"/>
    </w:p>
    <w:p w14:paraId="4EF7C524">
      <w:pPr>
        <w:widowControl/>
        <w:adjustRightInd w:val="0"/>
        <w:snapToGrid w:val="0"/>
        <w:spacing w:line="360" w:lineRule="auto"/>
        <w:ind w:firstLine="480" w:firstLineChars="200"/>
        <w:jc w:val="left"/>
        <w:rPr>
          <w:rFonts w:hint="eastAsia" w:ascii="宋体" w:hAnsi="宋体"/>
          <w:sz w:val="24"/>
        </w:rPr>
      </w:pPr>
      <w:r>
        <w:rPr>
          <w:rFonts w:hint="eastAsia" w:ascii="宋体" w:hAnsi="宋体"/>
          <w:sz w:val="24"/>
        </w:rPr>
        <w:t>即使企业内部的业务流程已经做了风险的管控，但在税收征管过程中难免出现争议。对税务机关的评估、检查、稽查的异议或争议事项必须妥善处理，严防税务违纪演化为重大的税务事件。我们的服务包括但不限于：</w:t>
      </w:r>
    </w:p>
    <w:p w14:paraId="1252C8CD">
      <w:pPr>
        <w:pStyle w:val="7"/>
        <w:widowControl/>
        <w:numPr>
          <w:ilvl w:val="1"/>
          <w:numId w:val="6"/>
        </w:numPr>
        <w:adjustRightInd w:val="0"/>
        <w:snapToGrid w:val="0"/>
        <w:spacing w:line="360" w:lineRule="auto"/>
        <w:ind w:left="704" w:firstLineChars="0"/>
        <w:jc w:val="left"/>
        <w:rPr>
          <w:rFonts w:hint="eastAsia" w:ascii="宋体" w:hAnsi="宋体"/>
          <w:sz w:val="24"/>
        </w:rPr>
      </w:pPr>
      <w:r>
        <w:rPr>
          <w:rFonts w:hint="eastAsia" w:ascii="宋体" w:hAnsi="宋体"/>
          <w:sz w:val="24"/>
        </w:rPr>
        <w:t>分析企业业务流程以及涉税风险点，协助企业捋顺实务危机的事实真想。</w:t>
      </w:r>
    </w:p>
    <w:p w14:paraId="0CEE2855">
      <w:pPr>
        <w:pStyle w:val="7"/>
        <w:widowControl/>
        <w:numPr>
          <w:ilvl w:val="1"/>
          <w:numId w:val="6"/>
        </w:numPr>
        <w:adjustRightInd w:val="0"/>
        <w:snapToGrid w:val="0"/>
        <w:spacing w:line="360" w:lineRule="auto"/>
        <w:ind w:left="704" w:firstLineChars="0"/>
        <w:jc w:val="left"/>
        <w:rPr>
          <w:rFonts w:hint="eastAsia" w:ascii="宋体" w:hAnsi="宋体"/>
          <w:sz w:val="24"/>
        </w:rPr>
      </w:pPr>
      <w:r>
        <w:rPr>
          <w:rFonts w:hint="eastAsia" w:ascii="宋体" w:hAnsi="宋体"/>
          <w:sz w:val="24"/>
        </w:rPr>
        <w:t>依据税收法律法规的相关规定提供危机应对的最优解决方案，并提供联络沟通渠道，反映涉税问题。</w:t>
      </w:r>
    </w:p>
    <w:p w14:paraId="278DFFC6">
      <w:pPr>
        <w:pStyle w:val="7"/>
        <w:widowControl/>
        <w:numPr>
          <w:ilvl w:val="1"/>
          <w:numId w:val="6"/>
        </w:numPr>
        <w:adjustRightInd w:val="0"/>
        <w:snapToGrid w:val="0"/>
        <w:spacing w:line="360" w:lineRule="auto"/>
        <w:ind w:left="704" w:firstLineChars="0"/>
        <w:jc w:val="left"/>
        <w:rPr>
          <w:rFonts w:hint="eastAsia" w:ascii="宋体" w:hAnsi="宋体"/>
          <w:sz w:val="24"/>
        </w:rPr>
      </w:pPr>
      <w:r>
        <w:rPr>
          <w:rFonts w:hint="eastAsia" w:ascii="宋体" w:hAnsi="宋体"/>
          <w:sz w:val="24"/>
        </w:rPr>
        <w:t>协助企业与税务机关进行协商，提供参考意见，解决客户与税务机关之间的分歧。</w:t>
      </w:r>
    </w:p>
    <w:p w14:paraId="0D9A1FEE">
      <w:pPr>
        <w:pStyle w:val="7"/>
        <w:widowControl/>
        <w:numPr>
          <w:ilvl w:val="0"/>
          <w:numId w:val="4"/>
        </w:numPr>
        <w:adjustRightInd w:val="0"/>
        <w:snapToGrid w:val="0"/>
        <w:spacing w:line="360" w:lineRule="auto"/>
        <w:ind w:left="420" w:firstLineChars="0"/>
        <w:jc w:val="left"/>
        <w:outlineLvl w:val="5"/>
        <w:rPr>
          <w:rFonts w:hint="eastAsia" w:ascii="宋体" w:hAnsi="宋体"/>
          <w:b/>
          <w:bCs/>
          <w:sz w:val="24"/>
        </w:rPr>
      </w:pPr>
      <w:bookmarkStart w:id="112" w:name="_Toc22225"/>
      <w:bookmarkStart w:id="113" w:name="_Toc7557"/>
      <w:bookmarkStart w:id="114" w:name="_Toc2426"/>
      <w:bookmarkStart w:id="115" w:name="_Toc6759"/>
      <w:bookmarkStart w:id="116" w:name="_Toc14658"/>
      <w:bookmarkStart w:id="117" w:name="_Toc173143204"/>
      <w:bookmarkStart w:id="118" w:name="_Toc174957196"/>
      <w:r>
        <w:rPr>
          <w:rFonts w:ascii="宋体" w:hAnsi="宋体"/>
          <w:b/>
          <w:bCs/>
          <w:sz w:val="24"/>
        </w:rPr>
        <w:t>税务培训</w:t>
      </w:r>
      <w:bookmarkEnd w:id="112"/>
      <w:bookmarkEnd w:id="113"/>
      <w:bookmarkEnd w:id="114"/>
      <w:bookmarkEnd w:id="115"/>
      <w:bookmarkEnd w:id="116"/>
      <w:bookmarkEnd w:id="117"/>
      <w:bookmarkEnd w:id="118"/>
    </w:p>
    <w:p w14:paraId="6CC7AE7F">
      <w:pPr>
        <w:widowControl/>
        <w:adjustRightInd w:val="0"/>
        <w:snapToGrid w:val="0"/>
        <w:spacing w:line="360" w:lineRule="auto"/>
        <w:ind w:firstLine="480" w:firstLineChars="200"/>
        <w:jc w:val="left"/>
        <w:rPr>
          <w:rFonts w:hint="eastAsia" w:ascii="宋体" w:hAnsi="宋体"/>
          <w:sz w:val="24"/>
        </w:rPr>
      </w:pPr>
      <w:r>
        <w:rPr>
          <w:rFonts w:hint="eastAsia" w:ascii="宋体" w:hAnsi="宋体"/>
          <w:sz w:val="24"/>
        </w:rPr>
        <w:t>按照客户的要求，对税收政策提供及时、专业和权威的解读以及培训，提供具有针对性的、个性化的税务主题培训或沙龙；举办税务研讨会，从不同层面分析税务和会计两者之间的异同，揭示涉税问题关键点，规避企业税务处理风险，享受税收政策红利。同时针对各类企业高管、自由职业者、基金投资人、医生、律师等其他高收入者的税务规划培训，从实务角度出发，立足税务风险控制，解读现行税法环境下个人所得税监管体系与管理关键风险点，努力使个人收益在现行税收框架下实现效用最大化。</w:t>
      </w:r>
    </w:p>
    <w:p w14:paraId="437E3174">
      <w:pPr>
        <w:pStyle w:val="7"/>
        <w:widowControl/>
        <w:numPr>
          <w:ilvl w:val="0"/>
          <w:numId w:val="4"/>
        </w:numPr>
        <w:adjustRightInd w:val="0"/>
        <w:snapToGrid w:val="0"/>
        <w:spacing w:line="360" w:lineRule="auto"/>
        <w:ind w:left="420" w:firstLineChars="0"/>
        <w:jc w:val="left"/>
        <w:outlineLvl w:val="5"/>
        <w:rPr>
          <w:rFonts w:hint="eastAsia" w:ascii="宋体" w:hAnsi="宋体"/>
          <w:b/>
          <w:bCs/>
          <w:sz w:val="24"/>
        </w:rPr>
      </w:pPr>
      <w:bookmarkStart w:id="119" w:name="_Toc22314"/>
      <w:bookmarkStart w:id="120" w:name="_Toc173143205"/>
      <w:bookmarkStart w:id="121" w:name="_Toc22259"/>
      <w:bookmarkStart w:id="122" w:name="_Toc174957197"/>
      <w:bookmarkStart w:id="123" w:name="_Toc9210"/>
      <w:bookmarkStart w:id="124" w:name="_Toc26085"/>
      <w:bookmarkStart w:id="125" w:name="_Toc7819"/>
      <w:r>
        <w:rPr>
          <w:rFonts w:ascii="宋体" w:hAnsi="宋体"/>
          <w:b/>
          <w:bCs/>
          <w:sz w:val="24"/>
        </w:rPr>
        <w:t>转让定价服务</w:t>
      </w:r>
      <w:bookmarkEnd w:id="119"/>
      <w:bookmarkEnd w:id="120"/>
      <w:bookmarkEnd w:id="121"/>
      <w:bookmarkEnd w:id="122"/>
      <w:bookmarkEnd w:id="123"/>
      <w:bookmarkEnd w:id="124"/>
      <w:bookmarkEnd w:id="125"/>
    </w:p>
    <w:p w14:paraId="5B3BF798">
      <w:pPr>
        <w:widowControl/>
        <w:adjustRightInd w:val="0"/>
        <w:snapToGrid w:val="0"/>
        <w:spacing w:line="360" w:lineRule="auto"/>
        <w:ind w:firstLine="480" w:firstLineChars="200"/>
        <w:jc w:val="left"/>
        <w:rPr>
          <w:rFonts w:hint="eastAsia" w:ascii="宋体" w:hAnsi="宋体"/>
          <w:sz w:val="24"/>
        </w:rPr>
      </w:pPr>
      <w:r>
        <w:rPr>
          <w:rFonts w:hint="eastAsia" w:ascii="宋体" w:hAnsi="宋体"/>
          <w:sz w:val="24"/>
        </w:rPr>
        <w:t>转让定价是指关联企业之间对于无形资产转让和使用、有形资产的购销、转让和使用、劳务提供、资金融通等各种业务往来时指定的价格。我国相关法规规定，企业在与关联企业业务往来时须符合独立交易原则，并需每年报告关联交易的情况，近年，税务机关不断加大转让定价的调查力度，并将其作为工作重点之一。我们可以帮助企业审视转让定价风险，通过准备转让定价同期资料和申请预约定价安排等方式，增强税务合规性和降低税务风险。我们的主要服务范围包括但不限于：</w:t>
      </w:r>
    </w:p>
    <w:p w14:paraId="269674DC">
      <w:pPr>
        <w:pStyle w:val="7"/>
        <w:widowControl/>
        <w:numPr>
          <w:ilvl w:val="1"/>
          <w:numId w:val="6"/>
        </w:numPr>
        <w:adjustRightInd w:val="0"/>
        <w:snapToGrid w:val="0"/>
        <w:spacing w:line="360" w:lineRule="auto"/>
        <w:ind w:left="704" w:firstLineChars="0"/>
        <w:jc w:val="left"/>
        <w:rPr>
          <w:rFonts w:hint="eastAsia" w:ascii="宋体" w:hAnsi="宋体"/>
          <w:sz w:val="24"/>
        </w:rPr>
      </w:pPr>
      <w:r>
        <w:rPr>
          <w:rFonts w:hint="eastAsia" w:ascii="宋体" w:hAnsi="宋体"/>
          <w:sz w:val="24"/>
        </w:rPr>
        <w:t>转让定价同期资料准备</w:t>
      </w:r>
    </w:p>
    <w:p w14:paraId="750DF250">
      <w:pPr>
        <w:pStyle w:val="7"/>
        <w:widowControl/>
        <w:numPr>
          <w:ilvl w:val="1"/>
          <w:numId w:val="6"/>
        </w:numPr>
        <w:adjustRightInd w:val="0"/>
        <w:snapToGrid w:val="0"/>
        <w:spacing w:line="360" w:lineRule="auto"/>
        <w:ind w:left="704" w:firstLineChars="0"/>
        <w:jc w:val="left"/>
        <w:rPr>
          <w:rFonts w:hint="eastAsia" w:ascii="宋体" w:hAnsi="宋体"/>
          <w:sz w:val="24"/>
        </w:rPr>
      </w:pPr>
      <w:r>
        <w:rPr>
          <w:rFonts w:hint="eastAsia" w:ascii="宋体" w:hAnsi="宋体"/>
          <w:sz w:val="24"/>
        </w:rPr>
        <w:t>转让定价争议协调</w:t>
      </w:r>
    </w:p>
    <w:p w14:paraId="3315D176">
      <w:pPr>
        <w:pStyle w:val="7"/>
        <w:widowControl/>
        <w:numPr>
          <w:ilvl w:val="1"/>
          <w:numId w:val="6"/>
        </w:numPr>
        <w:adjustRightInd w:val="0"/>
        <w:snapToGrid w:val="0"/>
        <w:spacing w:line="360" w:lineRule="auto"/>
        <w:ind w:left="704" w:firstLineChars="0"/>
        <w:jc w:val="left"/>
        <w:rPr>
          <w:rFonts w:hint="eastAsia" w:ascii="宋体" w:hAnsi="宋体"/>
          <w:sz w:val="24"/>
        </w:rPr>
      </w:pPr>
      <w:r>
        <w:rPr>
          <w:rFonts w:hint="eastAsia" w:ascii="宋体" w:hAnsi="宋体"/>
          <w:sz w:val="24"/>
        </w:rPr>
        <w:t>转让定价预约定价安排</w:t>
      </w:r>
    </w:p>
    <w:p w14:paraId="67117302">
      <w:pPr>
        <w:pStyle w:val="7"/>
        <w:widowControl/>
        <w:numPr>
          <w:ilvl w:val="1"/>
          <w:numId w:val="6"/>
        </w:numPr>
        <w:adjustRightInd w:val="0"/>
        <w:snapToGrid w:val="0"/>
        <w:spacing w:line="360" w:lineRule="auto"/>
        <w:ind w:left="704" w:firstLineChars="0"/>
        <w:jc w:val="left"/>
        <w:rPr>
          <w:rFonts w:hint="eastAsia" w:ascii="宋体" w:hAnsi="宋体"/>
          <w:sz w:val="24"/>
        </w:rPr>
      </w:pPr>
      <w:r>
        <w:rPr>
          <w:rFonts w:hint="eastAsia" w:ascii="宋体" w:hAnsi="宋体"/>
          <w:sz w:val="24"/>
        </w:rPr>
        <w:t>特别纳税调整应对服务</w:t>
      </w:r>
    </w:p>
    <w:p w14:paraId="2375F715">
      <w:pPr>
        <w:pStyle w:val="7"/>
        <w:widowControl/>
        <w:numPr>
          <w:ilvl w:val="0"/>
          <w:numId w:val="4"/>
        </w:numPr>
        <w:adjustRightInd w:val="0"/>
        <w:snapToGrid w:val="0"/>
        <w:spacing w:line="360" w:lineRule="auto"/>
        <w:ind w:left="420" w:firstLineChars="0"/>
        <w:jc w:val="left"/>
        <w:outlineLvl w:val="5"/>
        <w:rPr>
          <w:rFonts w:hint="eastAsia" w:ascii="宋体" w:hAnsi="宋体"/>
          <w:b/>
          <w:bCs/>
          <w:sz w:val="24"/>
        </w:rPr>
      </w:pPr>
      <w:bookmarkStart w:id="126" w:name="_Toc22484"/>
      <w:bookmarkStart w:id="127" w:name="_Toc174957198"/>
      <w:bookmarkStart w:id="128" w:name="_Toc8961"/>
      <w:bookmarkStart w:id="129" w:name="_Toc14479"/>
      <w:bookmarkStart w:id="130" w:name="_Toc173143206"/>
      <w:bookmarkStart w:id="131" w:name="_Toc28344"/>
      <w:bookmarkStart w:id="132" w:name="_Toc25269"/>
      <w:r>
        <w:rPr>
          <w:rFonts w:ascii="宋体" w:hAnsi="宋体"/>
          <w:b/>
          <w:bCs/>
          <w:sz w:val="24"/>
        </w:rPr>
        <w:t>税务风险管理</w:t>
      </w:r>
      <w:bookmarkEnd w:id="126"/>
      <w:bookmarkEnd w:id="127"/>
      <w:bookmarkEnd w:id="128"/>
      <w:bookmarkEnd w:id="129"/>
      <w:bookmarkEnd w:id="130"/>
      <w:bookmarkEnd w:id="131"/>
      <w:bookmarkEnd w:id="132"/>
    </w:p>
    <w:p w14:paraId="7F94B4EB">
      <w:pPr>
        <w:widowControl/>
        <w:adjustRightInd w:val="0"/>
        <w:snapToGrid w:val="0"/>
        <w:spacing w:line="360" w:lineRule="auto"/>
        <w:ind w:firstLine="480" w:firstLineChars="200"/>
        <w:jc w:val="left"/>
        <w:rPr>
          <w:rFonts w:hint="eastAsia" w:ascii="宋体" w:hAnsi="宋体"/>
          <w:sz w:val="24"/>
        </w:rPr>
      </w:pPr>
      <w:r>
        <w:rPr>
          <w:rFonts w:hint="eastAsia" w:ascii="宋体" w:hAnsi="宋体"/>
          <w:sz w:val="24"/>
        </w:rPr>
        <w:t>接受客户委托，评估企业税务风险管理的有效性，定期对企业进行税收合规性健康检查，为客户提供企业税务风险的讲解，风险的管控与策划，从源头上管控税务风险。设计企业税务管理内控制度，通过税务管理调查、测试、评估及安排，优化客户的税收管理流程。</w:t>
      </w:r>
    </w:p>
    <w:p w14:paraId="06EDA8D7">
      <w:pPr>
        <w:widowControl/>
        <w:adjustRightInd w:val="0"/>
        <w:snapToGrid w:val="0"/>
        <w:spacing w:line="360" w:lineRule="auto"/>
        <w:jc w:val="left"/>
        <w:rPr>
          <w:rFonts w:hint="eastAsia" w:ascii="宋体" w:hAnsi="宋体"/>
          <w:sz w:val="24"/>
        </w:rPr>
      </w:pPr>
    </w:p>
    <w:p w14:paraId="62A57A97">
      <w:pPr>
        <w:rPr>
          <w:rFonts w:hint="eastAsia" w:ascii="宋体" w:hAnsi="宋体"/>
          <w:b/>
          <w:bCs/>
          <w:sz w:val="32"/>
          <w:szCs w:val="32"/>
          <w:lang w:val="en-US" w:eastAsia="zh-CN"/>
        </w:rPr>
      </w:pPr>
      <w:bookmarkStart w:id="133" w:name="_Toc9418"/>
      <w:bookmarkStart w:id="134" w:name="_Toc174956639"/>
      <w:bookmarkStart w:id="135" w:name="_Toc174718102"/>
      <w:bookmarkStart w:id="136" w:name="_Toc173143207"/>
      <w:bookmarkStart w:id="137" w:name="_Toc30708"/>
      <w:bookmarkStart w:id="138" w:name="_Toc28622"/>
      <w:bookmarkStart w:id="139" w:name="_Toc3655"/>
      <w:bookmarkStart w:id="140" w:name="_Toc21054"/>
      <w:bookmarkStart w:id="141" w:name="_Toc7804"/>
      <w:bookmarkStart w:id="142" w:name="_Toc6147"/>
      <w:r>
        <w:rPr>
          <w:rFonts w:hint="eastAsia" w:ascii="宋体" w:hAnsi="宋体"/>
          <w:b/>
          <w:bCs/>
          <w:sz w:val="32"/>
          <w:szCs w:val="32"/>
          <w:lang w:val="en-US" w:eastAsia="zh-CN"/>
        </w:rPr>
        <w:br w:type="page"/>
      </w:r>
    </w:p>
    <w:p w14:paraId="6672F12E">
      <w:pPr>
        <w:pStyle w:val="7"/>
        <w:numPr>
          <w:ilvl w:val="0"/>
          <w:numId w:val="1"/>
        </w:numPr>
        <w:adjustRightInd w:val="0"/>
        <w:snapToGrid w:val="0"/>
        <w:spacing w:line="360" w:lineRule="auto"/>
        <w:ind w:left="0" w:firstLineChars="0"/>
        <w:jc w:val="center"/>
        <w:outlineLvl w:val="1"/>
        <w:rPr>
          <w:rFonts w:hint="eastAsia" w:ascii="宋体" w:hAnsi="宋体"/>
          <w:b/>
          <w:bCs/>
          <w:sz w:val="32"/>
          <w:szCs w:val="32"/>
          <w:lang w:val="en-US" w:eastAsia="zh-CN"/>
        </w:rPr>
      </w:pPr>
      <w:r>
        <w:rPr>
          <w:rFonts w:hint="eastAsia" w:ascii="宋体" w:hAnsi="宋体"/>
          <w:b/>
          <w:bCs/>
          <w:sz w:val="32"/>
          <w:szCs w:val="32"/>
          <w:lang w:val="en-US" w:eastAsia="zh-CN"/>
        </w:rPr>
        <w:t>主要客户</w:t>
      </w:r>
      <w:bookmarkEnd w:id="133"/>
      <w:bookmarkEnd w:id="134"/>
      <w:bookmarkEnd w:id="135"/>
      <w:bookmarkEnd w:id="136"/>
      <w:bookmarkEnd w:id="137"/>
      <w:bookmarkEnd w:id="138"/>
      <w:bookmarkEnd w:id="139"/>
      <w:bookmarkEnd w:id="140"/>
      <w:bookmarkEnd w:id="141"/>
      <w:bookmarkEnd w:id="142"/>
      <w:r>
        <w:rPr>
          <w:rFonts w:hint="eastAsia" w:ascii="宋体" w:hAnsi="宋体"/>
          <w:b/>
          <w:bCs/>
          <w:sz w:val="32"/>
          <w:szCs w:val="32"/>
          <w:lang w:val="en-US" w:eastAsia="zh-CN"/>
        </w:rPr>
        <w:t>业绩</w:t>
      </w:r>
    </w:p>
    <w:p w14:paraId="629B70F0">
      <w:pPr>
        <w:widowControl/>
        <w:adjustRightInd w:val="0"/>
        <w:snapToGrid w:val="0"/>
        <w:spacing w:line="360" w:lineRule="auto"/>
        <w:ind w:firstLine="480" w:firstLineChars="200"/>
        <w:jc w:val="left"/>
        <w:rPr>
          <w:rFonts w:hint="eastAsia" w:ascii="宋体" w:hAnsi="宋体"/>
          <w:sz w:val="24"/>
        </w:rPr>
      </w:pPr>
      <w:r>
        <w:rPr>
          <w:rFonts w:hint="eastAsia" w:ascii="宋体" w:hAnsi="宋体"/>
          <w:sz w:val="24"/>
        </w:rPr>
        <w:t>我们致力于企业涉税服务，为客户规避税务风险，降低客户税务成本，满足客户未来的税务需求。我们认同客户的感受，努力研发适应新形势下帮助客户的服务产品。凭借信任、尊重、共赢的服务理念，与客户建立了密切的战略合作关系。我们的客户既有像国家电力投资集团有限公司、国家能源投资集团等特大型国有中央企业，也有广东省广晟控股集团有限公司、广东省广新控股集团有限公司、广东恒健投资控股有限公司、广州工业投资控股集团有限公司等大型省属市属国有企业；我们既服务于东江环保、佳都科技、茂华石华、风华高科等上市公司，也服务于广州医药股份、锐速科技等“新三板”挂牌企业。主要的代表客户及服务项目如下：</w:t>
      </w:r>
    </w:p>
    <w:tbl>
      <w:tblPr>
        <w:tblStyle w:val="5"/>
        <w:tblW w:w="8762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09"/>
        <w:gridCol w:w="3907"/>
        <w:gridCol w:w="1905"/>
        <w:gridCol w:w="2241"/>
      </w:tblGrid>
      <w:tr w14:paraId="7AF1A3E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09" w:type="dxa"/>
          </w:tcPr>
          <w:p w14:paraId="0048915D">
            <w:pPr>
              <w:widowControl/>
              <w:adjustRightInd w:val="0"/>
              <w:snapToGrid w:val="0"/>
              <w:spacing w:line="440" w:lineRule="exact"/>
              <w:jc w:val="center"/>
              <w:rPr>
                <w:rFonts w:hint="eastAsia" w:ascii="宋体" w:hAnsi="宋体" w:cs="宋体"/>
                <w:b/>
                <w:sz w:val="24"/>
                <w14:ligatures w14:val="standardContextual"/>
              </w:rPr>
            </w:pPr>
            <w:r>
              <w:rPr>
                <w:rFonts w:hint="eastAsia" w:ascii="宋体" w:hAnsi="宋体" w:cs="宋体"/>
                <w:b/>
                <w:sz w:val="24"/>
                <w14:ligatures w14:val="standardContextual"/>
              </w:rPr>
              <w:t>序号</w:t>
            </w:r>
          </w:p>
        </w:tc>
        <w:tc>
          <w:tcPr>
            <w:tcW w:w="3907" w:type="dxa"/>
          </w:tcPr>
          <w:p w14:paraId="7AFD5F05">
            <w:pPr>
              <w:widowControl/>
              <w:adjustRightInd w:val="0"/>
              <w:snapToGrid w:val="0"/>
              <w:spacing w:line="440" w:lineRule="exact"/>
              <w:jc w:val="center"/>
              <w:rPr>
                <w:rFonts w:hint="eastAsia" w:ascii="宋体" w:hAnsi="宋体" w:cs="宋体"/>
                <w:b/>
                <w:sz w:val="24"/>
                <w14:ligatures w14:val="standardContextual"/>
              </w:rPr>
            </w:pPr>
            <w:r>
              <w:rPr>
                <w:rFonts w:hint="eastAsia" w:ascii="宋体" w:hAnsi="宋体" w:cs="宋体"/>
                <w:b/>
                <w:sz w:val="24"/>
                <w14:ligatures w14:val="standardContextual"/>
              </w:rPr>
              <w:t>客户名称</w:t>
            </w:r>
          </w:p>
        </w:tc>
        <w:tc>
          <w:tcPr>
            <w:tcW w:w="1905" w:type="dxa"/>
          </w:tcPr>
          <w:p w14:paraId="65333289">
            <w:pPr>
              <w:widowControl/>
              <w:adjustRightInd w:val="0"/>
              <w:snapToGrid w:val="0"/>
              <w:spacing w:line="440" w:lineRule="exact"/>
              <w:jc w:val="center"/>
              <w:rPr>
                <w:rFonts w:hint="eastAsia" w:ascii="宋体" w:hAnsi="宋体" w:cs="宋体"/>
                <w:b/>
                <w:sz w:val="24"/>
                <w14:ligatures w14:val="standardContextual"/>
              </w:rPr>
            </w:pPr>
            <w:r>
              <w:rPr>
                <w:rFonts w:hint="eastAsia" w:ascii="宋体" w:hAnsi="宋体" w:cs="宋体"/>
                <w:b/>
                <w:sz w:val="24"/>
                <w14:ligatures w14:val="standardContextual"/>
              </w:rPr>
              <w:t>企业性质</w:t>
            </w:r>
          </w:p>
        </w:tc>
        <w:tc>
          <w:tcPr>
            <w:tcW w:w="2241" w:type="dxa"/>
          </w:tcPr>
          <w:p w14:paraId="78269366">
            <w:pPr>
              <w:widowControl/>
              <w:adjustRightInd w:val="0"/>
              <w:snapToGrid w:val="0"/>
              <w:spacing w:line="440" w:lineRule="exact"/>
              <w:jc w:val="center"/>
              <w:rPr>
                <w:rFonts w:hint="eastAsia" w:ascii="宋体" w:hAnsi="宋体" w:cs="宋体"/>
                <w:b/>
                <w:sz w:val="24"/>
                <w14:ligatures w14:val="standardContextual"/>
              </w:rPr>
            </w:pPr>
            <w:r>
              <w:rPr>
                <w:rFonts w:hint="eastAsia" w:ascii="宋体" w:hAnsi="宋体" w:cs="宋体"/>
                <w:b/>
                <w:sz w:val="24"/>
                <w14:ligatures w14:val="standardContextual"/>
              </w:rPr>
              <w:t>税务项目类型</w:t>
            </w:r>
          </w:p>
        </w:tc>
      </w:tr>
      <w:tr w14:paraId="79FA626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09" w:type="dxa"/>
            <w:vAlign w:val="center"/>
          </w:tcPr>
          <w:p w14:paraId="23295B24">
            <w:pPr>
              <w:pStyle w:val="7"/>
              <w:widowControl/>
              <w:numPr>
                <w:ilvl w:val="0"/>
                <w:numId w:val="7"/>
              </w:numPr>
              <w:adjustRightInd w:val="0"/>
              <w:snapToGrid w:val="0"/>
              <w:spacing w:line="440" w:lineRule="exact"/>
              <w:ind w:firstLineChars="0"/>
              <w:rPr>
                <w:rFonts w:hint="eastAsia" w:ascii="宋体" w:hAnsi="宋体" w:cs="宋体"/>
                <w:bCs/>
                <w14:ligatures w14:val="standardContextual"/>
              </w:rPr>
            </w:pPr>
          </w:p>
        </w:tc>
        <w:tc>
          <w:tcPr>
            <w:tcW w:w="3907" w:type="dxa"/>
            <w:vAlign w:val="center"/>
          </w:tcPr>
          <w:p w14:paraId="049A2A8E">
            <w:pPr>
              <w:widowControl/>
              <w:adjustRightInd w:val="0"/>
              <w:snapToGrid w:val="0"/>
              <w:spacing w:line="440" w:lineRule="exact"/>
              <w:rPr>
                <w:rFonts w:hint="eastAsia" w:ascii="宋体" w:hAnsi="宋体" w:cs="宋体"/>
                <w:bCs/>
                <w14:ligatures w14:val="standardContextual"/>
              </w:rPr>
            </w:pPr>
            <w:r>
              <w:rPr>
                <w:rFonts w:hint="eastAsia" w:ascii="宋体" w:hAnsi="宋体" w:cs="宋体"/>
                <w:bCs/>
                <w14:ligatures w14:val="standardContextual"/>
              </w:rPr>
              <w:t>东江环保股份有限公司（002672）及下属52家子公司</w:t>
            </w:r>
          </w:p>
        </w:tc>
        <w:tc>
          <w:tcPr>
            <w:tcW w:w="1905" w:type="dxa"/>
            <w:vAlign w:val="center"/>
          </w:tcPr>
          <w:p w14:paraId="295F3F16">
            <w:pPr>
              <w:widowControl/>
              <w:adjustRightInd w:val="0"/>
              <w:snapToGrid w:val="0"/>
              <w:spacing w:line="440" w:lineRule="exact"/>
              <w:rPr>
                <w:rFonts w:hint="eastAsia" w:ascii="宋体" w:hAnsi="宋体" w:cs="宋体"/>
                <w:bCs/>
                <w14:ligatures w14:val="standardContextual"/>
              </w:rPr>
            </w:pPr>
            <w:r>
              <w:rPr>
                <w:rFonts w:hint="eastAsia" w:ascii="宋体" w:hAnsi="宋体" w:cs="宋体"/>
                <w:bCs/>
                <w14:ligatures w14:val="standardContextual"/>
              </w:rPr>
              <w:t>省属国企/上市公司</w:t>
            </w:r>
          </w:p>
        </w:tc>
        <w:tc>
          <w:tcPr>
            <w:tcW w:w="2241" w:type="dxa"/>
          </w:tcPr>
          <w:p w14:paraId="4603FCFE">
            <w:pPr>
              <w:widowControl/>
              <w:adjustRightInd w:val="0"/>
              <w:snapToGrid w:val="0"/>
              <w:spacing w:line="440" w:lineRule="exact"/>
              <w:jc w:val="left"/>
              <w:rPr>
                <w:rFonts w:hint="eastAsia" w:ascii="宋体" w:hAnsi="宋体" w:cs="宋体"/>
                <w:bCs/>
                <w14:ligatures w14:val="standardContextual"/>
              </w:rPr>
            </w:pPr>
            <w:r>
              <w:rPr>
                <w:rFonts w:hint="eastAsia" w:ascii="宋体" w:hAnsi="宋体" w:cs="宋体"/>
                <w:bCs/>
                <w14:ligatures w14:val="standardContextual"/>
              </w:rPr>
              <w:t>常年税务顾问</w:t>
            </w:r>
          </w:p>
          <w:p w14:paraId="220D797D">
            <w:pPr>
              <w:widowControl/>
              <w:adjustRightInd w:val="0"/>
              <w:snapToGrid w:val="0"/>
              <w:spacing w:line="440" w:lineRule="exact"/>
              <w:jc w:val="left"/>
              <w:rPr>
                <w:rFonts w:hint="eastAsia" w:ascii="宋体" w:hAnsi="宋体" w:cs="宋体"/>
                <w:bCs/>
                <w14:ligatures w14:val="standardContextual"/>
              </w:rPr>
            </w:pPr>
            <w:r>
              <w:rPr>
                <w:rFonts w:hint="eastAsia" w:ascii="宋体" w:hAnsi="宋体" w:cs="宋体"/>
                <w:bCs/>
                <w14:ligatures w14:val="standardContextual"/>
              </w:rPr>
              <w:t>企业所得税汇算清缴</w:t>
            </w:r>
          </w:p>
        </w:tc>
      </w:tr>
      <w:tr w14:paraId="3F00E51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09" w:type="dxa"/>
            <w:vAlign w:val="center"/>
          </w:tcPr>
          <w:p w14:paraId="159D4FBA">
            <w:pPr>
              <w:pStyle w:val="7"/>
              <w:widowControl/>
              <w:numPr>
                <w:ilvl w:val="0"/>
                <w:numId w:val="7"/>
              </w:numPr>
              <w:adjustRightInd w:val="0"/>
              <w:snapToGrid w:val="0"/>
              <w:spacing w:line="440" w:lineRule="exact"/>
              <w:ind w:firstLineChars="0"/>
              <w:rPr>
                <w:rFonts w:hint="eastAsia" w:ascii="宋体" w:hAnsi="宋体" w:cs="宋体"/>
                <w:bCs/>
                <w14:ligatures w14:val="standardContextual"/>
              </w:rPr>
            </w:pPr>
          </w:p>
        </w:tc>
        <w:tc>
          <w:tcPr>
            <w:tcW w:w="3907" w:type="dxa"/>
            <w:vAlign w:val="center"/>
          </w:tcPr>
          <w:p w14:paraId="4F084B71">
            <w:pPr>
              <w:widowControl/>
              <w:adjustRightInd w:val="0"/>
              <w:snapToGrid w:val="0"/>
              <w:spacing w:line="440" w:lineRule="exact"/>
              <w:rPr>
                <w:rFonts w:hint="eastAsia" w:ascii="宋体" w:hAnsi="宋体" w:cs="宋体"/>
                <w:bCs/>
                <w14:ligatures w14:val="standardContextual"/>
              </w:rPr>
            </w:pPr>
            <w:r>
              <w:rPr>
                <w:rFonts w:hint="eastAsia" w:ascii="宋体" w:hAnsi="宋体" w:cs="宋体"/>
                <w:bCs/>
                <w14:ligatures w14:val="standardContextual"/>
              </w:rPr>
              <w:t>茂名石化实华股份有限公司（000637）及下属14家子公司</w:t>
            </w:r>
          </w:p>
        </w:tc>
        <w:tc>
          <w:tcPr>
            <w:tcW w:w="1905" w:type="dxa"/>
            <w:vAlign w:val="center"/>
          </w:tcPr>
          <w:p w14:paraId="0C4302B9">
            <w:pPr>
              <w:widowControl/>
              <w:adjustRightInd w:val="0"/>
              <w:snapToGrid w:val="0"/>
              <w:spacing w:line="440" w:lineRule="exact"/>
              <w:rPr>
                <w:rFonts w:hint="eastAsia" w:ascii="宋体" w:hAnsi="宋体" w:cs="宋体"/>
                <w:bCs/>
                <w14:ligatures w14:val="standardContextual"/>
              </w:rPr>
            </w:pPr>
            <w:r>
              <w:rPr>
                <w:rFonts w:hint="eastAsia" w:ascii="宋体" w:hAnsi="宋体" w:cs="宋体"/>
                <w:bCs/>
                <w14:ligatures w14:val="standardContextual"/>
              </w:rPr>
              <w:t>市属国企/上市公司</w:t>
            </w:r>
          </w:p>
        </w:tc>
        <w:tc>
          <w:tcPr>
            <w:tcW w:w="2241" w:type="dxa"/>
          </w:tcPr>
          <w:p w14:paraId="01CC306D">
            <w:pPr>
              <w:widowControl/>
              <w:adjustRightInd w:val="0"/>
              <w:snapToGrid w:val="0"/>
              <w:spacing w:line="440" w:lineRule="exact"/>
              <w:jc w:val="left"/>
              <w:rPr>
                <w:rFonts w:hint="eastAsia" w:ascii="宋体" w:hAnsi="宋体" w:cs="宋体"/>
                <w:bCs/>
                <w14:ligatures w14:val="standardContextual"/>
              </w:rPr>
            </w:pPr>
            <w:r>
              <w:rPr>
                <w:rFonts w:hint="eastAsia" w:ascii="宋体" w:hAnsi="宋体" w:cs="宋体"/>
                <w:bCs/>
                <w14:ligatures w14:val="standardContextual"/>
              </w:rPr>
              <w:t>常年税务顾问</w:t>
            </w:r>
          </w:p>
          <w:p w14:paraId="116A8870">
            <w:pPr>
              <w:widowControl/>
              <w:adjustRightInd w:val="0"/>
              <w:snapToGrid w:val="0"/>
              <w:spacing w:line="440" w:lineRule="exact"/>
              <w:jc w:val="left"/>
              <w:rPr>
                <w:rFonts w:hint="eastAsia" w:ascii="宋体" w:hAnsi="宋体" w:cs="宋体"/>
                <w:bCs/>
                <w14:ligatures w14:val="standardContextual"/>
              </w:rPr>
            </w:pPr>
            <w:r>
              <w:rPr>
                <w:rFonts w:hint="eastAsia" w:ascii="宋体" w:hAnsi="宋体" w:cs="宋体"/>
                <w:bCs/>
                <w14:ligatures w14:val="standardContextual"/>
              </w:rPr>
              <w:t>企业所得税汇算清缴</w:t>
            </w:r>
          </w:p>
        </w:tc>
      </w:tr>
      <w:tr w14:paraId="25B8AE7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09" w:type="dxa"/>
            <w:vAlign w:val="center"/>
          </w:tcPr>
          <w:p w14:paraId="20608662">
            <w:pPr>
              <w:pStyle w:val="7"/>
              <w:widowControl/>
              <w:numPr>
                <w:ilvl w:val="0"/>
                <w:numId w:val="7"/>
              </w:numPr>
              <w:adjustRightInd w:val="0"/>
              <w:snapToGrid w:val="0"/>
              <w:spacing w:line="440" w:lineRule="exact"/>
              <w:ind w:firstLineChars="0"/>
              <w:rPr>
                <w:rFonts w:hint="eastAsia" w:ascii="宋体" w:hAnsi="宋体" w:cs="宋体"/>
                <w:bCs/>
                <w14:ligatures w14:val="standardContextual"/>
              </w:rPr>
            </w:pPr>
          </w:p>
        </w:tc>
        <w:tc>
          <w:tcPr>
            <w:tcW w:w="3907" w:type="dxa"/>
            <w:vAlign w:val="center"/>
          </w:tcPr>
          <w:p w14:paraId="321022D6">
            <w:pPr>
              <w:widowControl/>
              <w:adjustRightInd w:val="0"/>
              <w:snapToGrid w:val="0"/>
              <w:spacing w:line="440" w:lineRule="exact"/>
              <w:rPr>
                <w:rFonts w:hint="eastAsia" w:ascii="宋体" w:hAnsi="宋体" w:cs="宋体"/>
                <w:bCs/>
                <w14:ligatures w14:val="standardContextual"/>
              </w:rPr>
            </w:pPr>
            <w:r>
              <w:rPr>
                <w:rFonts w:hint="eastAsia" w:ascii="宋体" w:hAnsi="宋体" w:cs="宋体"/>
                <w:bCs/>
                <w14:ligatures w14:val="standardContextual"/>
              </w:rPr>
              <w:t>广州医药集团有限公司及下属16家子公司</w:t>
            </w:r>
          </w:p>
        </w:tc>
        <w:tc>
          <w:tcPr>
            <w:tcW w:w="1905" w:type="dxa"/>
            <w:vAlign w:val="center"/>
          </w:tcPr>
          <w:p w14:paraId="30153F4A">
            <w:pPr>
              <w:widowControl/>
              <w:adjustRightInd w:val="0"/>
              <w:snapToGrid w:val="0"/>
              <w:spacing w:line="440" w:lineRule="exact"/>
              <w:rPr>
                <w:rFonts w:hint="eastAsia" w:ascii="宋体" w:hAnsi="宋体" w:cs="宋体"/>
                <w:bCs/>
                <w14:ligatures w14:val="standardContextual"/>
              </w:rPr>
            </w:pPr>
            <w:r>
              <w:rPr>
                <w:rFonts w:hint="eastAsia" w:ascii="宋体" w:hAnsi="宋体" w:cs="宋体"/>
                <w:bCs/>
                <w14:ligatures w14:val="standardContextual"/>
              </w:rPr>
              <w:t>市属国企</w:t>
            </w:r>
          </w:p>
        </w:tc>
        <w:tc>
          <w:tcPr>
            <w:tcW w:w="2241" w:type="dxa"/>
          </w:tcPr>
          <w:p w14:paraId="3A29C1AA">
            <w:pPr>
              <w:widowControl/>
              <w:adjustRightInd w:val="0"/>
              <w:snapToGrid w:val="0"/>
              <w:spacing w:line="440" w:lineRule="exact"/>
              <w:jc w:val="left"/>
              <w:rPr>
                <w:rFonts w:hint="eastAsia" w:ascii="宋体" w:hAnsi="宋体" w:cs="宋体"/>
                <w:bCs/>
                <w14:ligatures w14:val="standardContextual"/>
              </w:rPr>
            </w:pPr>
            <w:r>
              <w:rPr>
                <w:rFonts w:hint="eastAsia" w:ascii="宋体" w:hAnsi="宋体" w:cs="宋体"/>
                <w:bCs/>
                <w14:ligatures w14:val="standardContextual"/>
              </w:rPr>
              <w:t>常年税务顾问</w:t>
            </w:r>
          </w:p>
          <w:p w14:paraId="6EF7710B">
            <w:pPr>
              <w:widowControl/>
              <w:adjustRightInd w:val="0"/>
              <w:snapToGrid w:val="0"/>
              <w:spacing w:line="440" w:lineRule="exact"/>
              <w:jc w:val="left"/>
              <w:rPr>
                <w:rFonts w:hint="eastAsia" w:ascii="宋体" w:hAnsi="宋体" w:cs="宋体"/>
                <w:bCs/>
                <w14:ligatures w14:val="standardContextual"/>
              </w:rPr>
            </w:pPr>
            <w:r>
              <w:rPr>
                <w:rFonts w:hint="eastAsia" w:ascii="宋体" w:hAnsi="宋体" w:cs="宋体"/>
                <w:bCs/>
                <w14:ligatures w14:val="standardContextual"/>
              </w:rPr>
              <w:t>企业所得税汇算清缴</w:t>
            </w:r>
          </w:p>
        </w:tc>
      </w:tr>
      <w:tr w14:paraId="5FD9AE7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09" w:type="dxa"/>
            <w:vAlign w:val="center"/>
          </w:tcPr>
          <w:p w14:paraId="390A6559">
            <w:pPr>
              <w:pStyle w:val="7"/>
              <w:widowControl/>
              <w:numPr>
                <w:ilvl w:val="0"/>
                <w:numId w:val="7"/>
              </w:numPr>
              <w:adjustRightInd w:val="0"/>
              <w:snapToGrid w:val="0"/>
              <w:spacing w:line="440" w:lineRule="exact"/>
              <w:ind w:firstLineChars="0"/>
              <w:rPr>
                <w:rFonts w:hint="eastAsia" w:ascii="宋体" w:hAnsi="宋体" w:cs="宋体"/>
                <w:bCs/>
                <w14:ligatures w14:val="standardContextual"/>
              </w:rPr>
            </w:pPr>
          </w:p>
        </w:tc>
        <w:tc>
          <w:tcPr>
            <w:tcW w:w="3907" w:type="dxa"/>
            <w:vAlign w:val="center"/>
          </w:tcPr>
          <w:p w14:paraId="5EDED7CE">
            <w:pPr>
              <w:widowControl/>
              <w:adjustRightInd w:val="0"/>
              <w:snapToGrid w:val="0"/>
              <w:spacing w:line="440" w:lineRule="exact"/>
              <w:rPr>
                <w:rFonts w:hint="eastAsia" w:ascii="宋体" w:hAnsi="宋体" w:cs="宋体"/>
                <w:bCs/>
                <w14:ligatures w14:val="standardContextual"/>
              </w:rPr>
            </w:pPr>
            <w:r>
              <w:rPr>
                <w:rFonts w:hint="eastAsia" w:ascii="宋体" w:hAnsi="宋体" w:cs="宋体"/>
                <w:bCs/>
                <w14:ligatures w14:val="standardContextual"/>
              </w:rPr>
              <w:t>广州医药股份有限公司（874839）及下属29家子公司</w:t>
            </w:r>
          </w:p>
        </w:tc>
        <w:tc>
          <w:tcPr>
            <w:tcW w:w="1905" w:type="dxa"/>
            <w:vAlign w:val="center"/>
          </w:tcPr>
          <w:p w14:paraId="2609D6D3">
            <w:pPr>
              <w:widowControl/>
              <w:adjustRightInd w:val="0"/>
              <w:snapToGrid w:val="0"/>
              <w:spacing w:line="440" w:lineRule="exact"/>
              <w:rPr>
                <w:rFonts w:hint="eastAsia" w:ascii="宋体" w:hAnsi="宋体" w:cs="宋体"/>
                <w:bCs/>
                <w14:ligatures w14:val="standardContextual"/>
              </w:rPr>
            </w:pPr>
            <w:r>
              <w:rPr>
                <w:rFonts w:hint="eastAsia" w:ascii="宋体" w:hAnsi="宋体" w:cs="宋体"/>
                <w:bCs/>
                <w14:ligatures w14:val="standardContextual"/>
              </w:rPr>
              <w:t>市属国企</w:t>
            </w:r>
          </w:p>
        </w:tc>
        <w:tc>
          <w:tcPr>
            <w:tcW w:w="2241" w:type="dxa"/>
          </w:tcPr>
          <w:p w14:paraId="62832016">
            <w:pPr>
              <w:widowControl/>
              <w:adjustRightInd w:val="0"/>
              <w:snapToGrid w:val="0"/>
              <w:spacing w:line="440" w:lineRule="exact"/>
              <w:jc w:val="left"/>
              <w:rPr>
                <w:rFonts w:hint="eastAsia" w:ascii="宋体" w:hAnsi="宋体" w:cs="宋体"/>
                <w:bCs/>
                <w14:ligatures w14:val="standardContextual"/>
              </w:rPr>
            </w:pPr>
            <w:r>
              <w:rPr>
                <w:rFonts w:hint="eastAsia" w:ascii="宋体" w:hAnsi="宋体" w:cs="宋体"/>
                <w:bCs/>
                <w14:ligatures w14:val="standardContextual"/>
              </w:rPr>
              <w:t>常年税务顾问</w:t>
            </w:r>
          </w:p>
          <w:p w14:paraId="5B72D81D">
            <w:pPr>
              <w:widowControl/>
              <w:adjustRightInd w:val="0"/>
              <w:snapToGrid w:val="0"/>
              <w:spacing w:line="440" w:lineRule="exact"/>
              <w:jc w:val="left"/>
              <w:rPr>
                <w:rFonts w:hint="eastAsia" w:ascii="宋体" w:hAnsi="宋体" w:cs="宋体"/>
                <w:bCs/>
                <w14:ligatures w14:val="standardContextual"/>
              </w:rPr>
            </w:pPr>
            <w:r>
              <w:rPr>
                <w:rFonts w:hint="eastAsia" w:ascii="宋体" w:hAnsi="宋体" w:cs="宋体"/>
                <w:bCs/>
                <w14:ligatures w14:val="standardContextual"/>
              </w:rPr>
              <w:t>企业所得税汇算清缴</w:t>
            </w:r>
          </w:p>
        </w:tc>
      </w:tr>
      <w:tr w14:paraId="461E5E0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09" w:type="dxa"/>
            <w:vAlign w:val="center"/>
          </w:tcPr>
          <w:p w14:paraId="3D080F6F">
            <w:pPr>
              <w:pStyle w:val="7"/>
              <w:widowControl/>
              <w:numPr>
                <w:ilvl w:val="0"/>
                <w:numId w:val="7"/>
              </w:numPr>
              <w:adjustRightInd w:val="0"/>
              <w:snapToGrid w:val="0"/>
              <w:spacing w:line="440" w:lineRule="exact"/>
              <w:ind w:firstLineChars="0"/>
              <w:rPr>
                <w:rFonts w:hint="eastAsia" w:ascii="宋体" w:hAnsi="宋体" w:cs="宋体"/>
                <w:bCs/>
                <w14:ligatures w14:val="standardContextual"/>
              </w:rPr>
            </w:pPr>
          </w:p>
        </w:tc>
        <w:tc>
          <w:tcPr>
            <w:tcW w:w="3907" w:type="dxa"/>
            <w:vAlign w:val="center"/>
          </w:tcPr>
          <w:p w14:paraId="7944F23B">
            <w:pPr>
              <w:widowControl/>
              <w:adjustRightInd w:val="0"/>
              <w:snapToGrid w:val="0"/>
              <w:spacing w:line="440" w:lineRule="exact"/>
              <w:rPr>
                <w:rFonts w:hint="eastAsia" w:ascii="宋体" w:hAnsi="宋体" w:cs="宋体"/>
                <w:bCs/>
                <w14:ligatures w14:val="standardContextual"/>
              </w:rPr>
            </w:pPr>
            <w:r>
              <w:rPr>
                <w:rFonts w:hint="eastAsia" w:ascii="宋体" w:hAnsi="宋体" w:cs="宋体"/>
                <w:bCs/>
                <w14:ligatures w14:val="standardContextual"/>
              </w:rPr>
              <w:t>广东恒健投资控股有限公司及下属27家公司</w:t>
            </w:r>
          </w:p>
        </w:tc>
        <w:tc>
          <w:tcPr>
            <w:tcW w:w="1905" w:type="dxa"/>
            <w:vAlign w:val="center"/>
          </w:tcPr>
          <w:p w14:paraId="650DCAA0">
            <w:pPr>
              <w:widowControl/>
              <w:adjustRightInd w:val="0"/>
              <w:snapToGrid w:val="0"/>
              <w:spacing w:line="440" w:lineRule="exact"/>
              <w:rPr>
                <w:rFonts w:hint="eastAsia" w:ascii="宋体" w:hAnsi="宋体" w:cs="宋体"/>
                <w:bCs/>
                <w14:ligatures w14:val="standardContextual"/>
              </w:rPr>
            </w:pPr>
            <w:r>
              <w:rPr>
                <w:rFonts w:hint="eastAsia" w:ascii="宋体" w:hAnsi="宋体" w:cs="宋体"/>
                <w:bCs/>
                <w14:ligatures w14:val="standardContextual"/>
              </w:rPr>
              <w:t>省属国企</w:t>
            </w:r>
          </w:p>
        </w:tc>
        <w:tc>
          <w:tcPr>
            <w:tcW w:w="2241" w:type="dxa"/>
          </w:tcPr>
          <w:p w14:paraId="5D234C71">
            <w:pPr>
              <w:widowControl/>
              <w:adjustRightInd w:val="0"/>
              <w:snapToGrid w:val="0"/>
              <w:spacing w:line="440" w:lineRule="exact"/>
              <w:jc w:val="left"/>
              <w:rPr>
                <w:rFonts w:hint="eastAsia" w:ascii="宋体" w:hAnsi="宋体" w:cs="宋体"/>
                <w:bCs/>
                <w14:ligatures w14:val="standardContextual"/>
              </w:rPr>
            </w:pPr>
            <w:r>
              <w:rPr>
                <w:rFonts w:hint="eastAsia" w:ascii="宋体" w:hAnsi="宋体" w:cs="宋体"/>
                <w:bCs/>
                <w14:ligatures w14:val="standardContextual"/>
              </w:rPr>
              <w:t>常年税务顾问</w:t>
            </w:r>
          </w:p>
          <w:p w14:paraId="2E386F9B">
            <w:pPr>
              <w:widowControl/>
              <w:adjustRightInd w:val="0"/>
              <w:snapToGrid w:val="0"/>
              <w:spacing w:line="440" w:lineRule="exact"/>
              <w:jc w:val="left"/>
              <w:rPr>
                <w:rFonts w:hint="eastAsia" w:ascii="宋体" w:hAnsi="宋体" w:cs="宋体"/>
                <w:bCs/>
                <w14:ligatures w14:val="standardContextual"/>
              </w:rPr>
            </w:pPr>
            <w:r>
              <w:rPr>
                <w:rFonts w:hint="eastAsia" w:ascii="宋体" w:hAnsi="宋体" w:cs="宋体"/>
                <w:bCs/>
                <w14:ligatures w14:val="standardContextual"/>
              </w:rPr>
              <w:t>企业所得税汇算清缴</w:t>
            </w:r>
          </w:p>
        </w:tc>
      </w:tr>
      <w:tr w14:paraId="6669550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09" w:type="dxa"/>
            <w:vAlign w:val="center"/>
          </w:tcPr>
          <w:p w14:paraId="16093E42">
            <w:pPr>
              <w:pStyle w:val="7"/>
              <w:widowControl/>
              <w:numPr>
                <w:ilvl w:val="0"/>
                <w:numId w:val="7"/>
              </w:numPr>
              <w:adjustRightInd w:val="0"/>
              <w:snapToGrid w:val="0"/>
              <w:spacing w:line="440" w:lineRule="exact"/>
              <w:ind w:firstLineChars="0"/>
              <w:rPr>
                <w:rFonts w:hint="eastAsia" w:ascii="宋体" w:hAnsi="宋体" w:cs="宋体"/>
                <w:bCs/>
                <w14:ligatures w14:val="standardContextual"/>
              </w:rPr>
            </w:pPr>
          </w:p>
        </w:tc>
        <w:tc>
          <w:tcPr>
            <w:tcW w:w="3907" w:type="dxa"/>
            <w:vAlign w:val="center"/>
          </w:tcPr>
          <w:p w14:paraId="7BA6210C">
            <w:pPr>
              <w:widowControl/>
              <w:adjustRightInd w:val="0"/>
              <w:snapToGrid w:val="0"/>
              <w:spacing w:line="440" w:lineRule="exact"/>
              <w:rPr>
                <w:rFonts w:hint="eastAsia" w:ascii="宋体" w:hAnsi="宋体" w:cs="宋体"/>
                <w14:ligatures w14:val="standardContextual"/>
              </w:rPr>
            </w:pPr>
            <w:r>
              <w:rPr>
                <w:rFonts w:hint="eastAsia" w:ascii="宋体" w:hAnsi="宋体" w:cs="宋体"/>
                <w14:ligatures w14:val="standardContextual"/>
              </w:rPr>
              <w:t>广东省丝绸纺织集团有限公司</w:t>
            </w:r>
          </w:p>
        </w:tc>
        <w:tc>
          <w:tcPr>
            <w:tcW w:w="1905" w:type="dxa"/>
            <w:vAlign w:val="center"/>
          </w:tcPr>
          <w:p w14:paraId="2F4EB69B">
            <w:pPr>
              <w:widowControl/>
              <w:adjustRightInd w:val="0"/>
              <w:snapToGrid w:val="0"/>
              <w:spacing w:line="440" w:lineRule="exact"/>
              <w:rPr>
                <w:rFonts w:hint="eastAsia" w:ascii="宋体" w:hAnsi="宋体" w:cs="宋体"/>
                <w14:ligatures w14:val="standardContextual"/>
              </w:rPr>
            </w:pPr>
            <w:r>
              <w:rPr>
                <w:rFonts w:hint="eastAsia" w:ascii="宋体" w:hAnsi="宋体" w:cs="宋体"/>
                <w14:ligatures w14:val="standardContextual"/>
              </w:rPr>
              <w:t>省属国企</w:t>
            </w:r>
          </w:p>
        </w:tc>
        <w:tc>
          <w:tcPr>
            <w:tcW w:w="2241" w:type="dxa"/>
          </w:tcPr>
          <w:p w14:paraId="79C02BDA">
            <w:pPr>
              <w:widowControl/>
              <w:adjustRightInd w:val="0"/>
              <w:snapToGrid w:val="0"/>
              <w:spacing w:line="440" w:lineRule="exact"/>
              <w:jc w:val="left"/>
              <w:rPr>
                <w:rFonts w:hint="eastAsia" w:ascii="宋体" w:hAnsi="宋体" w:cs="宋体"/>
                <w14:ligatures w14:val="standardContextual"/>
              </w:rPr>
            </w:pPr>
            <w:r>
              <w:rPr>
                <w:rFonts w:hint="eastAsia" w:ascii="宋体" w:hAnsi="宋体" w:cs="宋体"/>
                <w14:ligatures w14:val="standardContextual"/>
              </w:rPr>
              <w:t>税务代理服务</w:t>
            </w:r>
          </w:p>
          <w:p w14:paraId="5C5F3857">
            <w:pPr>
              <w:widowControl/>
              <w:adjustRightInd w:val="0"/>
              <w:snapToGrid w:val="0"/>
              <w:spacing w:line="440" w:lineRule="exact"/>
              <w:jc w:val="left"/>
              <w:rPr>
                <w:rFonts w:hint="eastAsia" w:ascii="宋体" w:hAnsi="宋体" w:cs="宋体"/>
                <w14:ligatures w14:val="standardContextual"/>
              </w:rPr>
            </w:pPr>
            <w:r>
              <w:rPr>
                <w:rFonts w:hint="eastAsia" w:ascii="宋体" w:hAnsi="宋体" w:cs="宋体"/>
                <w14:ligatures w14:val="standardContextual"/>
              </w:rPr>
              <w:t>资产损失税前扣除</w:t>
            </w:r>
          </w:p>
          <w:p w14:paraId="4C013C0B">
            <w:pPr>
              <w:widowControl/>
              <w:adjustRightInd w:val="0"/>
              <w:snapToGrid w:val="0"/>
              <w:spacing w:line="440" w:lineRule="exact"/>
              <w:jc w:val="left"/>
              <w:rPr>
                <w:rFonts w:hint="eastAsia" w:ascii="宋体" w:hAnsi="宋体" w:cs="宋体"/>
                <w14:ligatures w14:val="standardContextual"/>
              </w:rPr>
            </w:pPr>
            <w:r>
              <w:rPr>
                <w:rFonts w:hint="eastAsia" w:ascii="宋体" w:hAnsi="宋体" w:cs="宋体"/>
                <w14:ligatures w14:val="standardContextual"/>
              </w:rPr>
              <w:t>企业所得税汇算清缴</w:t>
            </w:r>
          </w:p>
        </w:tc>
      </w:tr>
      <w:tr w14:paraId="4ADFA32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09" w:type="dxa"/>
            <w:vAlign w:val="center"/>
          </w:tcPr>
          <w:p w14:paraId="71F0B281">
            <w:pPr>
              <w:pStyle w:val="7"/>
              <w:widowControl/>
              <w:numPr>
                <w:ilvl w:val="0"/>
                <w:numId w:val="7"/>
              </w:numPr>
              <w:adjustRightInd w:val="0"/>
              <w:snapToGrid w:val="0"/>
              <w:spacing w:line="440" w:lineRule="exact"/>
              <w:ind w:firstLineChars="0"/>
              <w:rPr>
                <w:rFonts w:hint="eastAsia" w:ascii="宋体" w:hAnsi="宋体" w:cs="宋体"/>
                <w:bCs/>
                <w14:ligatures w14:val="standardContextual"/>
              </w:rPr>
            </w:pPr>
          </w:p>
        </w:tc>
        <w:tc>
          <w:tcPr>
            <w:tcW w:w="3907" w:type="dxa"/>
            <w:vAlign w:val="center"/>
          </w:tcPr>
          <w:p w14:paraId="39FCF673">
            <w:pPr>
              <w:widowControl/>
              <w:adjustRightInd w:val="0"/>
              <w:snapToGrid w:val="0"/>
              <w:spacing w:line="440" w:lineRule="exact"/>
              <w:rPr>
                <w:rFonts w:hint="eastAsia" w:ascii="宋体" w:hAnsi="宋体" w:cs="宋体"/>
                <w:bCs/>
                <w14:ligatures w14:val="standardContextual"/>
              </w:rPr>
            </w:pPr>
            <w:r>
              <w:rPr>
                <w:rFonts w:hint="eastAsia" w:ascii="宋体" w:hAnsi="宋体" w:cs="宋体"/>
                <w14:ligatures w14:val="standardContextual"/>
              </w:rPr>
              <w:t>茂名港集团有限公司及下属24家子公司</w:t>
            </w:r>
          </w:p>
        </w:tc>
        <w:tc>
          <w:tcPr>
            <w:tcW w:w="1905" w:type="dxa"/>
            <w:vAlign w:val="center"/>
          </w:tcPr>
          <w:p w14:paraId="38876FB9">
            <w:pPr>
              <w:widowControl/>
              <w:adjustRightInd w:val="0"/>
              <w:snapToGrid w:val="0"/>
              <w:spacing w:line="440" w:lineRule="exact"/>
              <w:rPr>
                <w:rFonts w:hint="eastAsia" w:ascii="宋体" w:hAnsi="宋体" w:cs="宋体"/>
                <w:bCs/>
                <w14:ligatures w14:val="standardContextual"/>
              </w:rPr>
            </w:pPr>
            <w:r>
              <w:rPr>
                <w:rFonts w:hint="eastAsia" w:ascii="宋体" w:hAnsi="宋体" w:cs="宋体"/>
                <w14:ligatures w14:val="standardContextual"/>
              </w:rPr>
              <w:t>市属国企</w:t>
            </w:r>
          </w:p>
        </w:tc>
        <w:tc>
          <w:tcPr>
            <w:tcW w:w="2241" w:type="dxa"/>
          </w:tcPr>
          <w:p w14:paraId="3ED5CCCC">
            <w:pPr>
              <w:widowControl/>
              <w:adjustRightInd w:val="0"/>
              <w:snapToGrid w:val="0"/>
              <w:spacing w:line="440" w:lineRule="exact"/>
              <w:jc w:val="left"/>
              <w:rPr>
                <w:rFonts w:hint="eastAsia" w:ascii="宋体" w:hAnsi="宋体" w:cs="宋体"/>
                <w14:ligatures w14:val="standardContextual"/>
              </w:rPr>
            </w:pPr>
            <w:r>
              <w:rPr>
                <w:rFonts w:hint="eastAsia" w:ascii="宋体" w:hAnsi="宋体" w:cs="宋体"/>
                <w14:ligatures w14:val="standardContextual"/>
              </w:rPr>
              <w:t>常年税务顾问</w:t>
            </w:r>
          </w:p>
          <w:p w14:paraId="2B1E779E">
            <w:pPr>
              <w:widowControl/>
              <w:adjustRightInd w:val="0"/>
              <w:snapToGrid w:val="0"/>
              <w:spacing w:line="440" w:lineRule="exact"/>
              <w:jc w:val="left"/>
              <w:rPr>
                <w:rFonts w:hint="eastAsia" w:ascii="宋体" w:hAnsi="宋体" w:cs="宋体"/>
                <w:bCs/>
                <w14:ligatures w14:val="standardContextual"/>
              </w:rPr>
            </w:pPr>
            <w:r>
              <w:rPr>
                <w:rFonts w:hint="eastAsia" w:ascii="宋体" w:hAnsi="宋体" w:cs="宋体"/>
                <w:bCs/>
                <w14:ligatures w14:val="standardContextual"/>
              </w:rPr>
              <w:t>企业所得税汇算清缴</w:t>
            </w:r>
          </w:p>
        </w:tc>
      </w:tr>
      <w:tr w14:paraId="67C31E6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09" w:type="dxa"/>
            <w:vAlign w:val="center"/>
          </w:tcPr>
          <w:p w14:paraId="00828582">
            <w:pPr>
              <w:pStyle w:val="7"/>
              <w:widowControl/>
              <w:numPr>
                <w:ilvl w:val="0"/>
                <w:numId w:val="7"/>
              </w:numPr>
              <w:adjustRightInd w:val="0"/>
              <w:snapToGrid w:val="0"/>
              <w:spacing w:line="440" w:lineRule="exact"/>
              <w:ind w:firstLineChars="0"/>
              <w:rPr>
                <w:rFonts w:hint="eastAsia" w:ascii="宋体" w:hAnsi="宋体" w:cs="宋体"/>
                <w:bCs/>
                <w14:ligatures w14:val="standardContextual"/>
              </w:rPr>
            </w:pPr>
          </w:p>
        </w:tc>
        <w:tc>
          <w:tcPr>
            <w:tcW w:w="3907" w:type="dxa"/>
            <w:vAlign w:val="center"/>
          </w:tcPr>
          <w:p w14:paraId="2A486F25">
            <w:pPr>
              <w:widowControl/>
              <w:adjustRightInd w:val="0"/>
              <w:snapToGrid w:val="0"/>
              <w:spacing w:line="440" w:lineRule="exact"/>
              <w:rPr>
                <w:rFonts w:hint="eastAsia" w:ascii="宋体" w:hAnsi="宋体" w:cs="宋体"/>
                <w:bCs/>
                <w14:ligatures w14:val="standardContextual"/>
              </w:rPr>
            </w:pPr>
            <w:r>
              <w:rPr>
                <w:rFonts w:hint="eastAsia" w:ascii="宋体" w:hAnsi="宋体" w:cs="宋体"/>
                <w14:ligatures w14:val="standardContextual"/>
              </w:rPr>
              <w:t>广州交通集团有限公司及下属107家子公司</w:t>
            </w:r>
          </w:p>
        </w:tc>
        <w:tc>
          <w:tcPr>
            <w:tcW w:w="1905" w:type="dxa"/>
            <w:vAlign w:val="center"/>
          </w:tcPr>
          <w:p w14:paraId="37DCAAA5">
            <w:pPr>
              <w:widowControl/>
              <w:adjustRightInd w:val="0"/>
              <w:snapToGrid w:val="0"/>
              <w:spacing w:line="440" w:lineRule="exact"/>
              <w:rPr>
                <w:rFonts w:hint="eastAsia" w:ascii="宋体" w:hAnsi="宋体" w:cs="宋体"/>
                <w:bCs/>
                <w14:ligatures w14:val="standardContextual"/>
              </w:rPr>
            </w:pPr>
            <w:r>
              <w:rPr>
                <w:rFonts w:hint="eastAsia" w:ascii="宋体" w:hAnsi="宋体" w:cs="宋体"/>
                <w14:ligatures w14:val="standardContextual"/>
              </w:rPr>
              <w:t>市属国企</w:t>
            </w:r>
          </w:p>
        </w:tc>
        <w:tc>
          <w:tcPr>
            <w:tcW w:w="2241" w:type="dxa"/>
          </w:tcPr>
          <w:p w14:paraId="278B56DE">
            <w:pPr>
              <w:widowControl/>
              <w:adjustRightInd w:val="0"/>
              <w:snapToGrid w:val="0"/>
              <w:spacing w:line="440" w:lineRule="exact"/>
              <w:jc w:val="left"/>
              <w:rPr>
                <w:rFonts w:hint="eastAsia" w:ascii="宋体" w:hAnsi="宋体" w:cs="宋体"/>
                <w14:ligatures w14:val="standardContextual"/>
              </w:rPr>
            </w:pPr>
            <w:r>
              <w:rPr>
                <w:rFonts w:hint="eastAsia" w:ascii="宋体" w:hAnsi="宋体" w:cs="宋体"/>
                <w14:ligatures w14:val="standardContextual"/>
              </w:rPr>
              <w:t>常年税务顾问</w:t>
            </w:r>
          </w:p>
          <w:p w14:paraId="2790596B">
            <w:pPr>
              <w:widowControl/>
              <w:adjustRightInd w:val="0"/>
              <w:snapToGrid w:val="0"/>
              <w:spacing w:line="440" w:lineRule="exact"/>
              <w:jc w:val="left"/>
              <w:rPr>
                <w:rFonts w:hint="eastAsia" w:ascii="宋体" w:hAnsi="宋体" w:cs="宋体"/>
                <w:bCs/>
                <w14:ligatures w14:val="standardContextual"/>
              </w:rPr>
            </w:pPr>
            <w:r>
              <w:rPr>
                <w:rFonts w:hint="eastAsia" w:ascii="宋体" w:hAnsi="宋体" w:cs="宋体"/>
                <w:bCs/>
                <w14:ligatures w14:val="standardContextual"/>
              </w:rPr>
              <w:t>企业所得税汇算清缴</w:t>
            </w:r>
          </w:p>
        </w:tc>
      </w:tr>
      <w:tr w14:paraId="46B599F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09" w:type="dxa"/>
            <w:vAlign w:val="center"/>
          </w:tcPr>
          <w:p w14:paraId="43717E80">
            <w:pPr>
              <w:pStyle w:val="7"/>
              <w:widowControl/>
              <w:numPr>
                <w:ilvl w:val="0"/>
                <w:numId w:val="7"/>
              </w:numPr>
              <w:adjustRightInd w:val="0"/>
              <w:snapToGrid w:val="0"/>
              <w:spacing w:line="440" w:lineRule="exact"/>
              <w:ind w:firstLineChars="0"/>
              <w:rPr>
                <w:rFonts w:hint="eastAsia" w:ascii="宋体" w:hAnsi="宋体" w:cs="宋体"/>
                <w:bCs/>
                <w14:ligatures w14:val="standardContextual"/>
              </w:rPr>
            </w:pPr>
          </w:p>
        </w:tc>
        <w:tc>
          <w:tcPr>
            <w:tcW w:w="3907" w:type="dxa"/>
            <w:vAlign w:val="center"/>
          </w:tcPr>
          <w:p w14:paraId="740ED9BA">
            <w:pPr>
              <w:widowControl/>
              <w:adjustRightInd w:val="0"/>
              <w:snapToGrid w:val="0"/>
              <w:spacing w:line="440" w:lineRule="exact"/>
              <w:rPr>
                <w:rFonts w:hint="eastAsia" w:ascii="宋体" w:hAnsi="宋体" w:cs="宋体"/>
                <w:bCs/>
                <w14:ligatures w14:val="standardContextual"/>
              </w:rPr>
            </w:pPr>
            <w:r>
              <w:rPr>
                <w:rFonts w:hint="eastAsia" w:ascii="宋体" w:hAnsi="宋体" w:cs="宋体"/>
                <w:bCs/>
                <w14:ligatures w14:val="standardContextual"/>
              </w:rPr>
              <w:t>广东省电子信息集团有限公司</w:t>
            </w:r>
          </w:p>
        </w:tc>
        <w:tc>
          <w:tcPr>
            <w:tcW w:w="1905" w:type="dxa"/>
            <w:vAlign w:val="center"/>
          </w:tcPr>
          <w:p w14:paraId="78C39D9E">
            <w:pPr>
              <w:widowControl/>
              <w:adjustRightInd w:val="0"/>
              <w:snapToGrid w:val="0"/>
              <w:spacing w:line="440" w:lineRule="exact"/>
              <w:rPr>
                <w:rFonts w:hint="eastAsia" w:ascii="宋体" w:hAnsi="宋体" w:cs="宋体"/>
                <w:bCs/>
                <w14:ligatures w14:val="standardContextual"/>
              </w:rPr>
            </w:pPr>
            <w:r>
              <w:rPr>
                <w:rFonts w:hint="eastAsia" w:ascii="宋体" w:hAnsi="宋体" w:cs="宋体"/>
                <w:bCs/>
                <w14:ligatures w14:val="standardContextual"/>
              </w:rPr>
              <w:t>省属国企</w:t>
            </w:r>
          </w:p>
        </w:tc>
        <w:tc>
          <w:tcPr>
            <w:tcW w:w="2241" w:type="dxa"/>
          </w:tcPr>
          <w:p w14:paraId="0382A9B8">
            <w:pPr>
              <w:widowControl/>
              <w:adjustRightInd w:val="0"/>
              <w:snapToGrid w:val="0"/>
              <w:spacing w:line="440" w:lineRule="exact"/>
              <w:jc w:val="left"/>
              <w:rPr>
                <w:rFonts w:hint="eastAsia" w:ascii="宋体" w:hAnsi="宋体" w:cs="宋体"/>
                <w:bCs/>
                <w14:ligatures w14:val="standardContextual"/>
              </w:rPr>
            </w:pPr>
            <w:r>
              <w:rPr>
                <w:rFonts w:hint="eastAsia" w:ascii="宋体" w:hAnsi="宋体" w:cs="宋体"/>
                <w:bCs/>
                <w14:ligatures w14:val="standardContextual"/>
              </w:rPr>
              <w:t>常年税务顾问</w:t>
            </w:r>
          </w:p>
        </w:tc>
      </w:tr>
      <w:tr w14:paraId="646B259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09" w:type="dxa"/>
            <w:vAlign w:val="center"/>
          </w:tcPr>
          <w:p w14:paraId="3FDF5877">
            <w:pPr>
              <w:pStyle w:val="7"/>
              <w:widowControl/>
              <w:numPr>
                <w:ilvl w:val="0"/>
                <w:numId w:val="7"/>
              </w:numPr>
              <w:adjustRightInd w:val="0"/>
              <w:snapToGrid w:val="0"/>
              <w:spacing w:line="440" w:lineRule="exact"/>
              <w:ind w:firstLineChars="0"/>
              <w:rPr>
                <w:rFonts w:hint="eastAsia" w:ascii="宋体" w:hAnsi="宋体" w:cs="宋体"/>
                <w:bCs/>
                <w14:ligatures w14:val="standardContextual"/>
              </w:rPr>
            </w:pPr>
          </w:p>
        </w:tc>
        <w:tc>
          <w:tcPr>
            <w:tcW w:w="3907" w:type="dxa"/>
            <w:vAlign w:val="center"/>
          </w:tcPr>
          <w:p w14:paraId="7651A39F">
            <w:pPr>
              <w:widowControl/>
              <w:adjustRightInd w:val="0"/>
              <w:snapToGrid w:val="0"/>
              <w:spacing w:line="440" w:lineRule="exact"/>
              <w:rPr>
                <w:rFonts w:hint="eastAsia" w:ascii="宋体" w:hAnsi="宋体" w:cs="宋体"/>
                <w:bCs/>
                <w14:ligatures w14:val="standardContextual"/>
              </w:rPr>
            </w:pPr>
            <w:r>
              <w:rPr>
                <w:rFonts w:hint="eastAsia" w:ascii="宋体" w:hAnsi="宋体" w:cs="宋体"/>
                <w:bCs/>
                <w14:ligatures w14:val="standardContextual"/>
              </w:rPr>
              <w:t>广州白云山天心制药股份有限公司</w:t>
            </w:r>
          </w:p>
        </w:tc>
        <w:tc>
          <w:tcPr>
            <w:tcW w:w="1905" w:type="dxa"/>
            <w:vAlign w:val="center"/>
          </w:tcPr>
          <w:p w14:paraId="34FEF529">
            <w:pPr>
              <w:widowControl/>
              <w:adjustRightInd w:val="0"/>
              <w:snapToGrid w:val="0"/>
              <w:spacing w:line="440" w:lineRule="exact"/>
              <w:rPr>
                <w:rFonts w:hint="eastAsia" w:ascii="宋体" w:hAnsi="宋体" w:cs="宋体"/>
                <w:bCs/>
                <w14:ligatures w14:val="standardContextual"/>
              </w:rPr>
            </w:pPr>
            <w:r>
              <w:rPr>
                <w:rFonts w:hint="eastAsia" w:ascii="宋体" w:hAnsi="宋体" w:cs="宋体"/>
                <w:bCs/>
                <w14:ligatures w14:val="standardContextual"/>
              </w:rPr>
              <w:t>市属国企</w:t>
            </w:r>
          </w:p>
        </w:tc>
        <w:tc>
          <w:tcPr>
            <w:tcW w:w="2241" w:type="dxa"/>
          </w:tcPr>
          <w:p w14:paraId="340FFD0A">
            <w:pPr>
              <w:widowControl/>
              <w:adjustRightInd w:val="0"/>
              <w:snapToGrid w:val="0"/>
              <w:spacing w:line="440" w:lineRule="exact"/>
              <w:jc w:val="left"/>
              <w:rPr>
                <w:rFonts w:hint="eastAsia" w:ascii="宋体" w:hAnsi="宋体" w:cs="宋体"/>
                <w:bCs/>
                <w14:ligatures w14:val="standardContextual"/>
              </w:rPr>
            </w:pPr>
            <w:r>
              <w:rPr>
                <w:rFonts w:hint="eastAsia" w:ascii="宋体" w:hAnsi="宋体" w:cs="宋体"/>
                <w:bCs/>
                <w14:ligatures w14:val="standardContextual"/>
              </w:rPr>
              <w:t>常年税务顾问</w:t>
            </w:r>
          </w:p>
        </w:tc>
      </w:tr>
      <w:tr w14:paraId="1EEF9BE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09" w:type="dxa"/>
            <w:vAlign w:val="center"/>
          </w:tcPr>
          <w:p w14:paraId="7D8F3F6A">
            <w:pPr>
              <w:pStyle w:val="7"/>
              <w:widowControl/>
              <w:numPr>
                <w:ilvl w:val="0"/>
                <w:numId w:val="7"/>
              </w:numPr>
              <w:adjustRightInd w:val="0"/>
              <w:snapToGrid w:val="0"/>
              <w:spacing w:line="440" w:lineRule="exact"/>
              <w:ind w:firstLineChars="0"/>
              <w:rPr>
                <w:rFonts w:hint="eastAsia" w:ascii="宋体" w:hAnsi="宋体" w:cs="宋体"/>
                <w:bCs/>
                <w14:ligatures w14:val="standardContextual"/>
              </w:rPr>
            </w:pPr>
          </w:p>
        </w:tc>
        <w:tc>
          <w:tcPr>
            <w:tcW w:w="3907" w:type="dxa"/>
            <w:vAlign w:val="center"/>
          </w:tcPr>
          <w:p w14:paraId="7B80D2F8">
            <w:pPr>
              <w:widowControl/>
              <w:adjustRightInd w:val="0"/>
              <w:snapToGrid w:val="0"/>
              <w:spacing w:line="440" w:lineRule="exact"/>
              <w:rPr>
                <w:rFonts w:hint="eastAsia" w:ascii="宋体" w:hAnsi="宋体" w:cs="宋体"/>
                <w:bCs/>
                <w14:ligatures w14:val="standardContextual"/>
              </w:rPr>
            </w:pPr>
            <w:r>
              <w:rPr>
                <w:rFonts w:hint="eastAsia" w:ascii="宋体" w:hAnsi="宋体" w:cs="宋体"/>
                <w:bCs/>
                <w14:ligatures w14:val="standardContextual"/>
              </w:rPr>
              <w:t>广州王老吉大健康产业有限公司及下属10家子公司</w:t>
            </w:r>
          </w:p>
        </w:tc>
        <w:tc>
          <w:tcPr>
            <w:tcW w:w="1905" w:type="dxa"/>
            <w:vAlign w:val="center"/>
          </w:tcPr>
          <w:p w14:paraId="182A71E7">
            <w:pPr>
              <w:widowControl/>
              <w:adjustRightInd w:val="0"/>
              <w:snapToGrid w:val="0"/>
              <w:spacing w:line="440" w:lineRule="exact"/>
              <w:rPr>
                <w:rFonts w:hint="eastAsia" w:ascii="宋体" w:hAnsi="宋体" w:cs="宋体"/>
                <w:bCs/>
                <w14:ligatures w14:val="standardContextual"/>
              </w:rPr>
            </w:pPr>
            <w:r>
              <w:rPr>
                <w:rFonts w:hint="eastAsia" w:ascii="宋体" w:hAnsi="宋体" w:cs="宋体"/>
                <w:bCs/>
                <w14:ligatures w14:val="standardContextual"/>
              </w:rPr>
              <w:t>市属国企</w:t>
            </w:r>
          </w:p>
        </w:tc>
        <w:tc>
          <w:tcPr>
            <w:tcW w:w="2241" w:type="dxa"/>
          </w:tcPr>
          <w:p w14:paraId="2F605D7F">
            <w:pPr>
              <w:widowControl/>
              <w:adjustRightInd w:val="0"/>
              <w:snapToGrid w:val="0"/>
              <w:spacing w:line="440" w:lineRule="exact"/>
              <w:jc w:val="left"/>
              <w:rPr>
                <w:rFonts w:hint="eastAsia" w:ascii="宋体" w:hAnsi="宋体" w:cs="宋体"/>
                <w:bCs/>
                <w14:ligatures w14:val="standardContextual"/>
              </w:rPr>
            </w:pPr>
            <w:r>
              <w:rPr>
                <w:rFonts w:hint="eastAsia" w:ascii="宋体" w:hAnsi="宋体" w:cs="宋体"/>
                <w:bCs/>
                <w14:ligatures w14:val="standardContextual"/>
              </w:rPr>
              <w:t>常年税务顾问</w:t>
            </w:r>
          </w:p>
        </w:tc>
      </w:tr>
      <w:tr w14:paraId="5A712E2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09" w:type="dxa"/>
            <w:vAlign w:val="center"/>
          </w:tcPr>
          <w:p w14:paraId="693D447C">
            <w:pPr>
              <w:pStyle w:val="7"/>
              <w:widowControl/>
              <w:numPr>
                <w:ilvl w:val="0"/>
                <w:numId w:val="7"/>
              </w:numPr>
              <w:adjustRightInd w:val="0"/>
              <w:snapToGrid w:val="0"/>
              <w:spacing w:line="440" w:lineRule="exact"/>
              <w:ind w:firstLineChars="0"/>
              <w:rPr>
                <w:rFonts w:hint="eastAsia" w:ascii="宋体" w:hAnsi="宋体" w:cs="宋体"/>
                <w:bCs/>
                <w14:ligatures w14:val="standardContextual"/>
              </w:rPr>
            </w:pPr>
          </w:p>
        </w:tc>
        <w:tc>
          <w:tcPr>
            <w:tcW w:w="3907" w:type="dxa"/>
            <w:vAlign w:val="center"/>
          </w:tcPr>
          <w:p w14:paraId="6E793923">
            <w:pPr>
              <w:widowControl/>
              <w:adjustRightInd w:val="0"/>
              <w:snapToGrid w:val="0"/>
              <w:spacing w:line="440" w:lineRule="exact"/>
              <w:rPr>
                <w:rFonts w:hint="eastAsia" w:ascii="宋体" w:hAnsi="宋体" w:cs="宋体"/>
                <w:bCs/>
                <w14:ligatures w14:val="standardContextual"/>
              </w:rPr>
            </w:pPr>
            <w:r>
              <w:rPr>
                <w:rFonts w:hint="eastAsia" w:ascii="宋体" w:hAnsi="宋体" w:cs="宋体"/>
                <w:bCs/>
                <w14:ligatures w14:val="standardContextual"/>
              </w:rPr>
              <w:t>柏安美创新科技(广州)有限公司</w:t>
            </w:r>
          </w:p>
        </w:tc>
        <w:tc>
          <w:tcPr>
            <w:tcW w:w="1905" w:type="dxa"/>
            <w:vAlign w:val="center"/>
          </w:tcPr>
          <w:p w14:paraId="3B91E9BA">
            <w:pPr>
              <w:widowControl/>
              <w:adjustRightInd w:val="0"/>
              <w:snapToGrid w:val="0"/>
              <w:spacing w:line="440" w:lineRule="exact"/>
              <w:rPr>
                <w:rFonts w:hint="eastAsia" w:ascii="宋体" w:hAnsi="宋体" w:cs="宋体"/>
                <w:bCs/>
                <w14:ligatures w14:val="standardContextual"/>
              </w:rPr>
            </w:pPr>
            <w:r>
              <w:rPr>
                <w:rFonts w:hint="eastAsia" w:ascii="宋体" w:hAnsi="宋体" w:cs="宋体"/>
                <w:bCs/>
                <w14:ligatures w14:val="standardContextual"/>
              </w:rPr>
              <w:t>民营企业</w:t>
            </w:r>
          </w:p>
        </w:tc>
        <w:tc>
          <w:tcPr>
            <w:tcW w:w="2241" w:type="dxa"/>
          </w:tcPr>
          <w:p w14:paraId="67C061B4">
            <w:pPr>
              <w:widowControl/>
              <w:adjustRightInd w:val="0"/>
              <w:snapToGrid w:val="0"/>
              <w:spacing w:line="440" w:lineRule="exact"/>
              <w:jc w:val="left"/>
              <w:rPr>
                <w:rFonts w:hint="eastAsia" w:ascii="宋体" w:hAnsi="宋体" w:cs="宋体"/>
                <w:bCs/>
                <w14:ligatures w14:val="standardContextual"/>
              </w:rPr>
            </w:pPr>
            <w:r>
              <w:rPr>
                <w:rFonts w:hint="eastAsia" w:ascii="宋体" w:hAnsi="宋体" w:cs="宋体"/>
                <w:bCs/>
                <w14:ligatures w14:val="standardContextual"/>
              </w:rPr>
              <w:t>常年税务顾问</w:t>
            </w:r>
          </w:p>
        </w:tc>
      </w:tr>
      <w:tr w14:paraId="7A72772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09" w:type="dxa"/>
            <w:vAlign w:val="center"/>
          </w:tcPr>
          <w:p w14:paraId="43036581">
            <w:pPr>
              <w:pStyle w:val="7"/>
              <w:widowControl/>
              <w:numPr>
                <w:ilvl w:val="0"/>
                <w:numId w:val="7"/>
              </w:numPr>
              <w:adjustRightInd w:val="0"/>
              <w:snapToGrid w:val="0"/>
              <w:spacing w:line="440" w:lineRule="exact"/>
              <w:ind w:firstLineChars="0"/>
              <w:rPr>
                <w:rFonts w:hint="eastAsia" w:ascii="宋体" w:hAnsi="宋体" w:cs="宋体"/>
                <w:bCs/>
                <w14:ligatures w14:val="standardContextual"/>
              </w:rPr>
            </w:pPr>
          </w:p>
        </w:tc>
        <w:tc>
          <w:tcPr>
            <w:tcW w:w="3907" w:type="dxa"/>
            <w:vAlign w:val="center"/>
          </w:tcPr>
          <w:p w14:paraId="7459E492">
            <w:pPr>
              <w:widowControl/>
              <w:adjustRightInd w:val="0"/>
              <w:snapToGrid w:val="0"/>
              <w:spacing w:line="440" w:lineRule="exact"/>
              <w:rPr>
                <w:rFonts w:hint="eastAsia" w:ascii="宋体" w:hAnsi="宋体" w:cs="宋体"/>
                <w:bCs/>
                <w14:ligatures w14:val="standardContextual"/>
              </w:rPr>
            </w:pPr>
            <w:r>
              <w:rPr>
                <w:rFonts w:hint="eastAsia" w:ascii="宋体" w:hAnsi="宋体" w:cs="宋体"/>
                <w:bCs/>
                <w14:ligatures w14:val="standardContextual"/>
              </w:rPr>
              <w:t>广州珠江发展集团股份有限公司（600684）及下属46家子公司</w:t>
            </w:r>
          </w:p>
        </w:tc>
        <w:tc>
          <w:tcPr>
            <w:tcW w:w="1905" w:type="dxa"/>
            <w:vAlign w:val="center"/>
          </w:tcPr>
          <w:p w14:paraId="37A2A5A8">
            <w:pPr>
              <w:widowControl/>
              <w:adjustRightInd w:val="0"/>
              <w:snapToGrid w:val="0"/>
              <w:spacing w:line="440" w:lineRule="exact"/>
              <w:rPr>
                <w:rFonts w:hint="eastAsia" w:ascii="宋体" w:hAnsi="宋体" w:cs="宋体"/>
                <w:bCs/>
                <w14:ligatures w14:val="standardContextual"/>
              </w:rPr>
            </w:pPr>
            <w:r>
              <w:rPr>
                <w:rFonts w:hint="eastAsia" w:ascii="宋体" w:hAnsi="宋体" w:cs="宋体"/>
                <w:bCs/>
                <w14:ligatures w14:val="standardContextual"/>
              </w:rPr>
              <w:t>市属国企/上市公司</w:t>
            </w:r>
          </w:p>
        </w:tc>
        <w:tc>
          <w:tcPr>
            <w:tcW w:w="2241" w:type="dxa"/>
          </w:tcPr>
          <w:p w14:paraId="75B9F82B">
            <w:pPr>
              <w:widowControl/>
              <w:adjustRightInd w:val="0"/>
              <w:snapToGrid w:val="0"/>
              <w:spacing w:line="440" w:lineRule="exact"/>
              <w:jc w:val="left"/>
              <w:rPr>
                <w:rFonts w:hint="eastAsia" w:ascii="宋体" w:hAnsi="宋体" w:cs="宋体"/>
                <w:bCs/>
                <w14:ligatures w14:val="standardContextual"/>
              </w:rPr>
            </w:pPr>
            <w:r>
              <w:rPr>
                <w:rFonts w:hint="eastAsia" w:ascii="宋体" w:hAnsi="宋体" w:cs="宋体"/>
                <w:bCs/>
                <w14:ligatures w14:val="standardContextual"/>
              </w:rPr>
              <w:t>企业所得税汇算清缴</w:t>
            </w:r>
          </w:p>
        </w:tc>
      </w:tr>
      <w:tr w14:paraId="3C1D6C9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09" w:type="dxa"/>
            <w:vAlign w:val="center"/>
          </w:tcPr>
          <w:p w14:paraId="145275AE">
            <w:pPr>
              <w:pStyle w:val="7"/>
              <w:widowControl/>
              <w:numPr>
                <w:ilvl w:val="0"/>
                <w:numId w:val="7"/>
              </w:numPr>
              <w:adjustRightInd w:val="0"/>
              <w:snapToGrid w:val="0"/>
              <w:spacing w:line="440" w:lineRule="exact"/>
              <w:ind w:firstLineChars="0"/>
              <w:rPr>
                <w:rFonts w:hint="eastAsia" w:ascii="宋体" w:hAnsi="宋体" w:cs="宋体"/>
                <w:bCs/>
                <w14:ligatures w14:val="standardContextual"/>
              </w:rPr>
            </w:pPr>
          </w:p>
        </w:tc>
        <w:tc>
          <w:tcPr>
            <w:tcW w:w="3907" w:type="dxa"/>
            <w:vAlign w:val="center"/>
          </w:tcPr>
          <w:p w14:paraId="3A794B95">
            <w:pPr>
              <w:widowControl/>
              <w:adjustRightInd w:val="0"/>
              <w:snapToGrid w:val="0"/>
              <w:spacing w:line="440" w:lineRule="exact"/>
              <w:rPr>
                <w:rFonts w:hint="eastAsia" w:ascii="宋体" w:hAnsi="宋体" w:cs="宋体"/>
                <w:bCs/>
                <w14:ligatures w14:val="standardContextual"/>
              </w:rPr>
            </w:pPr>
            <w:r>
              <w:rPr>
                <w:rFonts w:hint="eastAsia" w:ascii="宋体" w:hAnsi="宋体" w:cs="宋体"/>
                <w:bCs/>
                <w14:ligatures w14:val="standardContextual"/>
              </w:rPr>
              <w:t>广州珠江城市管理服务集团股份有限公司</w:t>
            </w:r>
          </w:p>
        </w:tc>
        <w:tc>
          <w:tcPr>
            <w:tcW w:w="1905" w:type="dxa"/>
            <w:vAlign w:val="center"/>
          </w:tcPr>
          <w:p w14:paraId="5A5575E2">
            <w:pPr>
              <w:widowControl/>
              <w:adjustRightInd w:val="0"/>
              <w:snapToGrid w:val="0"/>
              <w:spacing w:line="440" w:lineRule="exact"/>
              <w:rPr>
                <w:rFonts w:hint="eastAsia" w:ascii="宋体" w:hAnsi="宋体" w:cs="宋体"/>
                <w:bCs/>
                <w14:ligatures w14:val="standardContextual"/>
              </w:rPr>
            </w:pPr>
            <w:r>
              <w:rPr>
                <w:rFonts w:hint="eastAsia" w:ascii="宋体" w:hAnsi="宋体" w:cs="宋体"/>
                <w:bCs/>
                <w14:ligatures w14:val="standardContextual"/>
              </w:rPr>
              <w:t>市属国企</w:t>
            </w:r>
          </w:p>
        </w:tc>
        <w:tc>
          <w:tcPr>
            <w:tcW w:w="2241" w:type="dxa"/>
          </w:tcPr>
          <w:p w14:paraId="1B984861">
            <w:pPr>
              <w:widowControl/>
              <w:adjustRightInd w:val="0"/>
              <w:snapToGrid w:val="0"/>
              <w:spacing w:line="440" w:lineRule="exact"/>
              <w:jc w:val="left"/>
              <w:rPr>
                <w:rFonts w:hint="eastAsia" w:ascii="宋体" w:hAnsi="宋体" w:cs="宋体"/>
                <w:bCs/>
                <w14:ligatures w14:val="standardContextual"/>
              </w:rPr>
            </w:pPr>
            <w:r>
              <w:rPr>
                <w:rFonts w:hint="eastAsia" w:ascii="宋体" w:hAnsi="宋体" w:cs="宋体"/>
                <w:bCs/>
                <w14:ligatures w14:val="standardContextual"/>
              </w:rPr>
              <w:t>企业所得税汇算清缴</w:t>
            </w:r>
          </w:p>
        </w:tc>
      </w:tr>
      <w:tr w14:paraId="37DC079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09" w:type="dxa"/>
            <w:vAlign w:val="center"/>
          </w:tcPr>
          <w:p w14:paraId="4FDB6493">
            <w:pPr>
              <w:pStyle w:val="7"/>
              <w:widowControl/>
              <w:numPr>
                <w:ilvl w:val="0"/>
                <w:numId w:val="7"/>
              </w:numPr>
              <w:adjustRightInd w:val="0"/>
              <w:snapToGrid w:val="0"/>
              <w:spacing w:line="440" w:lineRule="exact"/>
              <w:ind w:firstLineChars="0"/>
              <w:rPr>
                <w:rFonts w:hint="eastAsia" w:ascii="宋体" w:hAnsi="宋体" w:cs="宋体"/>
                <w:bCs/>
                <w14:ligatures w14:val="standardContextual"/>
              </w:rPr>
            </w:pPr>
          </w:p>
        </w:tc>
        <w:tc>
          <w:tcPr>
            <w:tcW w:w="3907" w:type="dxa"/>
            <w:vAlign w:val="center"/>
          </w:tcPr>
          <w:p w14:paraId="2EAE2A14">
            <w:pPr>
              <w:widowControl/>
              <w:adjustRightInd w:val="0"/>
              <w:snapToGrid w:val="0"/>
              <w:spacing w:line="440" w:lineRule="exact"/>
              <w:rPr>
                <w:rFonts w:hint="eastAsia" w:ascii="宋体" w:hAnsi="宋体" w:cs="宋体"/>
                <w:bCs/>
                <w14:ligatures w14:val="standardContextual"/>
              </w:rPr>
            </w:pPr>
            <w:r>
              <w:rPr>
                <w:rFonts w:hint="eastAsia" w:ascii="宋体" w:hAnsi="宋体" w:cs="宋体"/>
                <w:bCs/>
                <w14:ligatures w14:val="standardContextual"/>
              </w:rPr>
              <w:t>广州珠江建设发展有限公司</w:t>
            </w:r>
          </w:p>
        </w:tc>
        <w:tc>
          <w:tcPr>
            <w:tcW w:w="1905" w:type="dxa"/>
            <w:vAlign w:val="center"/>
          </w:tcPr>
          <w:p w14:paraId="6A911076">
            <w:pPr>
              <w:widowControl/>
              <w:adjustRightInd w:val="0"/>
              <w:snapToGrid w:val="0"/>
              <w:spacing w:line="440" w:lineRule="exact"/>
              <w:rPr>
                <w:rFonts w:hint="eastAsia" w:ascii="宋体" w:hAnsi="宋体" w:cs="宋体"/>
                <w:bCs/>
                <w14:ligatures w14:val="standardContextual"/>
              </w:rPr>
            </w:pPr>
            <w:r>
              <w:rPr>
                <w:rFonts w:hint="eastAsia" w:ascii="宋体" w:hAnsi="宋体" w:cs="宋体"/>
                <w:bCs/>
                <w14:ligatures w14:val="standardContextual"/>
              </w:rPr>
              <w:t>市属国企</w:t>
            </w:r>
          </w:p>
        </w:tc>
        <w:tc>
          <w:tcPr>
            <w:tcW w:w="2241" w:type="dxa"/>
          </w:tcPr>
          <w:p w14:paraId="5A317ED8">
            <w:pPr>
              <w:widowControl/>
              <w:adjustRightInd w:val="0"/>
              <w:snapToGrid w:val="0"/>
              <w:spacing w:line="440" w:lineRule="exact"/>
              <w:jc w:val="left"/>
              <w:rPr>
                <w:rFonts w:hint="eastAsia" w:ascii="宋体" w:hAnsi="宋体" w:cs="宋体"/>
                <w:bCs/>
                <w14:ligatures w14:val="standardContextual"/>
              </w:rPr>
            </w:pPr>
            <w:r>
              <w:rPr>
                <w:rFonts w:hint="eastAsia" w:ascii="宋体" w:hAnsi="宋体" w:cs="宋体"/>
                <w:bCs/>
                <w14:ligatures w14:val="standardContextual"/>
              </w:rPr>
              <w:t>土地增值税清算鉴证服务</w:t>
            </w:r>
          </w:p>
        </w:tc>
      </w:tr>
      <w:tr w14:paraId="1D02D08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09" w:type="dxa"/>
            <w:vAlign w:val="center"/>
          </w:tcPr>
          <w:p w14:paraId="0F1C5E57">
            <w:pPr>
              <w:pStyle w:val="7"/>
              <w:widowControl/>
              <w:numPr>
                <w:ilvl w:val="0"/>
                <w:numId w:val="7"/>
              </w:numPr>
              <w:adjustRightInd w:val="0"/>
              <w:snapToGrid w:val="0"/>
              <w:spacing w:line="440" w:lineRule="exact"/>
              <w:ind w:firstLineChars="0"/>
              <w:rPr>
                <w:rFonts w:hint="eastAsia" w:ascii="宋体" w:hAnsi="宋体" w:cs="宋体"/>
                <w:bCs/>
                <w14:ligatures w14:val="standardContextual"/>
              </w:rPr>
            </w:pPr>
          </w:p>
        </w:tc>
        <w:tc>
          <w:tcPr>
            <w:tcW w:w="3907" w:type="dxa"/>
            <w:vAlign w:val="center"/>
          </w:tcPr>
          <w:p w14:paraId="4E5BD658">
            <w:pPr>
              <w:widowControl/>
              <w:adjustRightInd w:val="0"/>
              <w:snapToGrid w:val="0"/>
              <w:spacing w:line="440" w:lineRule="exact"/>
              <w:rPr>
                <w:rFonts w:hint="eastAsia" w:ascii="宋体" w:hAnsi="宋体" w:cs="宋体"/>
                <w:bCs/>
                <w14:ligatures w14:val="standardContextual"/>
              </w:rPr>
            </w:pPr>
            <w:r>
              <w:rPr>
                <w:rFonts w:hint="eastAsia" w:ascii="宋体" w:hAnsi="宋体" w:cs="宋体"/>
                <w:bCs/>
                <w14:ligatures w14:val="standardContextual"/>
              </w:rPr>
              <w:t>广州市晖邦置业有限公司</w:t>
            </w:r>
          </w:p>
        </w:tc>
        <w:tc>
          <w:tcPr>
            <w:tcW w:w="1905" w:type="dxa"/>
            <w:vAlign w:val="center"/>
          </w:tcPr>
          <w:p w14:paraId="343AC44A">
            <w:pPr>
              <w:widowControl/>
              <w:adjustRightInd w:val="0"/>
              <w:snapToGrid w:val="0"/>
              <w:spacing w:line="440" w:lineRule="exact"/>
              <w:rPr>
                <w:rFonts w:hint="eastAsia" w:ascii="宋体" w:hAnsi="宋体" w:cs="宋体"/>
                <w:bCs/>
                <w14:ligatures w14:val="standardContextual"/>
              </w:rPr>
            </w:pPr>
            <w:r>
              <w:rPr>
                <w:rFonts w:hint="eastAsia" w:ascii="宋体" w:hAnsi="宋体" w:cs="宋体"/>
                <w:bCs/>
                <w14:ligatures w14:val="standardContextual"/>
              </w:rPr>
              <w:t>国企控股</w:t>
            </w:r>
          </w:p>
        </w:tc>
        <w:tc>
          <w:tcPr>
            <w:tcW w:w="2241" w:type="dxa"/>
          </w:tcPr>
          <w:p w14:paraId="4D8907F3">
            <w:pPr>
              <w:widowControl/>
              <w:adjustRightInd w:val="0"/>
              <w:snapToGrid w:val="0"/>
              <w:spacing w:line="440" w:lineRule="exact"/>
              <w:jc w:val="left"/>
              <w:rPr>
                <w:rFonts w:hint="eastAsia" w:ascii="宋体" w:hAnsi="宋体" w:cs="宋体"/>
                <w:bCs/>
                <w14:ligatures w14:val="standardContextual"/>
              </w:rPr>
            </w:pPr>
            <w:r>
              <w:rPr>
                <w:rFonts w:hint="eastAsia" w:ascii="宋体" w:hAnsi="宋体" w:cs="宋体"/>
                <w:bCs/>
                <w14:ligatures w14:val="standardContextual"/>
              </w:rPr>
              <w:t>土地增值税清算鉴证服务</w:t>
            </w:r>
          </w:p>
        </w:tc>
      </w:tr>
      <w:tr w14:paraId="0D0D92F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09" w:type="dxa"/>
            <w:vAlign w:val="center"/>
          </w:tcPr>
          <w:p w14:paraId="1007211E">
            <w:pPr>
              <w:pStyle w:val="7"/>
              <w:widowControl/>
              <w:numPr>
                <w:ilvl w:val="0"/>
                <w:numId w:val="7"/>
              </w:numPr>
              <w:adjustRightInd w:val="0"/>
              <w:snapToGrid w:val="0"/>
              <w:spacing w:line="440" w:lineRule="exact"/>
              <w:ind w:firstLineChars="0"/>
              <w:rPr>
                <w:rFonts w:hint="eastAsia" w:ascii="宋体" w:hAnsi="宋体" w:cs="宋体"/>
                <w:bCs/>
                <w14:ligatures w14:val="standardContextual"/>
              </w:rPr>
            </w:pPr>
          </w:p>
        </w:tc>
        <w:tc>
          <w:tcPr>
            <w:tcW w:w="3907" w:type="dxa"/>
            <w:vAlign w:val="center"/>
          </w:tcPr>
          <w:p w14:paraId="7C8E2D59">
            <w:pPr>
              <w:widowControl/>
              <w:adjustRightInd w:val="0"/>
              <w:snapToGrid w:val="0"/>
              <w:spacing w:line="440" w:lineRule="exact"/>
              <w:rPr>
                <w:rFonts w:hint="eastAsia" w:ascii="宋体" w:hAnsi="宋体" w:cs="宋体"/>
                <w:bCs/>
                <w14:ligatures w14:val="standardContextual"/>
              </w:rPr>
            </w:pPr>
            <w:r>
              <w:rPr>
                <w:rFonts w:hint="eastAsia" w:ascii="宋体" w:hAnsi="宋体" w:cs="宋体"/>
                <w:bCs/>
                <w14:ligatures w14:val="standardContextual"/>
              </w:rPr>
              <w:t>广东省蚕业技术推广中心</w:t>
            </w:r>
          </w:p>
        </w:tc>
        <w:tc>
          <w:tcPr>
            <w:tcW w:w="1905" w:type="dxa"/>
            <w:vAlign w:val="center"/>
          </w:tcPr>
          <w:p w14:paraId="756EAB09">
            <w:pPr>
              <w:widowControl/>
              <w:adjustRightInd w:val="0"/>
              <w:snapToGrid w:val="0"/>
              <w:spacing w:line="440" w:lineRule="exact"/>
              <w:rPr>
                <w:rFonts w:hint="eastAsia" w:ascii="宋体" w:hAnsi="宋体" w:cs="宋体"/>
                <w:bCs/>
                <w14:ligatures w14:val="standardContextual"/>
              </w:rPr>
            </w:pPr>
            <w:r>
              <w:rPr>
                <w:rFonts w:hint="eastAsia" w:ascii="宋体" w:hAnsi="宋体" w:cs="宋体"/>
                <w:bCs/>
                <w14:ligatures w14:val="standardContextual"/>
              </w:rPr>
              <w:t>省属国企</w:t>
            </w:r>
          </w:p>
        </w:tc>
        <w:tc>
          <w:tcPr>
            <w:tcW w:w="2241" w:type="dxa"/>
          </w:tcPr>
          <w:p w14:paraId="31A47447">
            <w:pPr>
              <w:widowControl/>
              <w:adjustRightInd w:val="0"/>
              <w:snapToGrid w:val="0"/>
              <w:spacing w:line="440" w:lineRule="exact"/>
              <w:jc w:val="left"/>
              <w:rPr>
                <w:rFonts w:hint="eastAsia" w:ascii="宋体" w:hAnsi="宋体" w:cs="宋体"/>
                <w:bCs/>
                <w14:ligatures w14:val="standardContextual"/>
              </w:rPr>
            </w:pPr>
            <w:r>
              <w:rPr>
                <w:rFonts w:hint="eastAsia" w:ascii="宋体" w:hAnsi="宋体" w:cs="宋体"/>
                <w:bCs/>
                <w14:ligatures w14:val="standardContextual"/>
              </w:rPr>
              <w:t>合作建房税务专项策划</w:t>
            </w:r>
          </w:p>
        </w:tc>
      </w:tr>
      <w:tr w14:paraId="057E565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09" w:type="dxa"/>
            <w:vAlign w:val="center"/>
          </w:tcPr>
          <w:p w14:paraId="5CCB2EDF">
            <w:pPr>
              <w:pStyle w:val="7"/>
              <w:widowControl/>
              <w:numPr>
                <w:ilvl w:val="0"/>
                <w:numId w:val="7"/>
              </w:numPr>
              <w:adjustRightInd w:val="0"/>
              <w:snapToGrid w:val="0"/>
              <w:spacing w:line="440" w:lineRule="exact"/>
              <w:ind w:firstLineChars="0"/>
              <w:rPr>
                <w:rFonts w:hint="eastAsia" w:ascii="宋体" w:hAnsi="宋体" w:cs="宋体"/>
                <w:bCs/>
                <w14:ligatures w14:val="standardContextual"/>
              </w:rPr>
            </w:pPr>
          </w:p>
        </w:tc>
        <w:tc>
          <w:tcPr>
            <w:tcW w:w="3907" w:type="dxa"/>
            <w:vAlign w:val="center"/>
          </w:tcPr>
          <w:p w14:paraId="79D1FC7F">
            <w:pPr>
              <w:widowControl/>
              <w:adjustRightInd w:val="0"/>
              <w:snapToGrid w:val="0"/>
              <w:spacing w:line="440" w:lineRule="exact"/>
              <w:rPr>
                <w:rFonts w:hint="eastAsia" w:ascii="宋体" w:hAnsi="宋体" w:cs="宋体"/>
                <w:bCs/>
                <w14:ligatures w14:val="standardContextual"/>
              </w:rPr>
            </w:pPr>
            <w:r>
              <w:rPr>
                <w:rFonts w:hint="eastAsia" w:ascii="宋体" w:hAnsi="宋体" w:cs="宋体"/>
                <w:bCs/>
                <w14:ligatures w14:val="standardContextual"/>
              </w:rPr>
              <w:t>广东风华高新科技股份有限公司（000636）</w:t>
            </w:r>
          </w:p>
        </w:tc>
        <w:tc>
          <w:tcPr>
            <w:tcW w:w="1905" w:type="dxa"/>
            <w:vAlign w:val="center"/>
          </w:tcPr>
          <w:p w14:paraId="07D08C07">
            <w:pPr>
              <w:widowControl/>
              <w:adjustRightInd w:val="0"/>
              <w:snapToGrid w:val="0"/>
              <w:spacing w:line="440" w:lineRule="exact"/>
              <w:rPr>
                <w:rFonts w:hint="eastAsia" w:ascii="宋体" w:hAnsi="宋体" w:cs="宋体"/>
                <w:bCs/>
                <w14:ligatures w14:val="standardContextual"/>
              </w:rPr>
            </w:pPr>
            <w:r>
              <w:rPr>
                <w:rFonts w:hint="eastAsia" w:ascii="宋体" w:hAnsi="宋体" w:cs="宋体"/>
                <w:bCs/>
                <w14:ligatures w14:val="standardContextual"/>
              </w:rPr>
              <w:t>省属国企/上市公司</w:t>
            </w:r>
          </w:p>
        </w:tc>
        <w:tc>
          <w:tcPr>
            <w:tcW w:w="2241" w:type="dxa"/>
          </w:tcPr>
          <w:p w14:paraId="66988DA1">
            <w:pPr>
              <w:widowControl/>
              <w:adjustRightInd w:val="0"/>
              <w:snapToGrid w:val="0"/>
              <w:spacing w:line="440" w:lineRule="exact"/>
              <w:jc w:val="left"/>
              <w:rPr>
                <w:rFonts w:hint="eastAsia" w:ascii="宋体" w:hAnsi="宋体" w:cs="宋体"/>
                <w:bCs/>
                <w14:ligatures w14:val="standardContextual"/>
              </w:rPr>
            </w:pPr>
            <w:r>
              <w:rPr>
                <w:rFonts w:hint="eastAsia" w:ascii="宋体" w:hAnsi="宋体" w:cs="宋体"/>
                <w:bCs/>
                <w14:ligatures w14:val="standardContextual"/>
              </w:rPr>
              <w:t>编制税务管理手册</w:t>
            </w:r>
          </w:p>
        </w:tc>
      </w:tr>
      <w:tr w14:paraId="6A8A16F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09" w:type="dxa"/>
            <w:vAlign w:val="center"/>
          </w:tcPr>
          <w:p w14:paraId="5AC252CA">
            <w:pPr>
              <w:pStyle w:val="7"/>
              <w:widowControl/>
              <w:numPr>
                <w:ilvl w:val="0"/>
                <w:numId w:val="7"/>
              </w:numPr>
              <w:adjustRightInd w:val="0"/>
              <w:snapToGrid w:val="0"/>
              <w:spacing w:line="440" w:lineRule="exact"/>
              <w:ind w:firstLineChars="0"/>
              <w:rPr>
                <w:rFonts w:hint="eastAsia" w:ascii="宋体" w:hAnsi="宋体" w:cs="宋体"/>
                <w:bCs/>
                <w14:ligatures w14:val="standardContextual"/>
              </w:rPr>
            </w:pPr>
          </w:p>
        </w:tc>
        <w:tc>
          <w:tcPr>
            <w:tcW w:w="3907" w:type="dxa"/>
            <w:vAlign w:val="center"/>
          </w:tcPr>
          <w:p w14:paraId="6BEF08C4">
            <w:pPr>
              <w:widowControl/>
              <w:adjustRightInd w:val="0"/>
              <w:snapToGrid w:val="0"/>
              <w:spacing w:line="440" w:lineRule="exact"/>
              <w:rPr>
                <w:rFonts w:hint="eastAsia" w:ascii="宋体" w:hAnsi="宋体" w:cs="宋体"/>
                <w:bCs/>
                <w14:ligatures w14:val="standardContextual"/>
              </w:rPr>
            </w:pPr>
            <w:r>
              <w:rPr>
                <w:rFonts w:hint="eastAsia" w:ascii="宋体" w:hAnsi="宋体" w:cs="宋体"/>
                <w:bCs/>
                <w14:ligatures w14:val="standardContextual"/>
              </w:rPr>
              <w:t>广州工业投资控股集团有限公司</w:t>
            </w:r>
          </w:p>
        </w:tc>
        <w:tc>
          <w:tcPr>
            <w:tcW w:w="1905" w:type="dxa"/>
            <w:vAlign w:val="center"/>
          </w:tcPr>
          <w:p w14:paraId="4C302AEF">
            <w:pPr>
              <w:widowControl/>
              <w:adjustRightInd w:val="0"/>
              <w:snapToGrid w:val="0"/>
              <w:spacing w:line="440" w:lineRule="exact"/>
              <w:rPr>
                <w:rFonts w:hint="eastAsia" w:ascii="宋体" w:hAnsi="宋体" w:cs="宋体"/>
                <w:bCs/>
                <w14:ligatures w14:val="standardContextual"/>
              </w:rPr>
            </w:pPr>
            <w:r>
              <w:rPr>
                <w:rFonts w:hint="eastAsia" w:ascii="宋体" w:hAnsi="宋体" w:cs="宋体"/>
                <w:bCs/>
                <w14:ligatures w14:val="standardContextual"/>
              </w:rPr>
              <w:t>市属国企</w:t>
            </w:r>
          </w:p>
        </w:tc>
        <w:tc>
          <w:tcPr>
            <w:tcW w:w="2241" w:type="dxa"/>
          </w:tcPr>
          <w:p w14:paraId="6EEBE3AB">
            <w:pPr>
              <w:widowControl/>
              <w:adjustRightInd w:val="0"/>
              <w:snapToGrid w:val="0"/>
              <w:spacing w:line="440" w:lineRule="exact"/>
              <w:jc w:val="left"/>
              <w:rPr>
                <w:rFonts w:hint="eastAsia" w:ascii="宋体" w:hAnsi="宋体" w:cs="宋体"/>
                <w:bCs/>
                <w14:ligatures w14:val="standardContextual"/>
              </w:rPr>
            </w:pPr>
            <w:r>
              <w:rPr>
                <w:rFonts w:hint="eastAsia" w:ascii="宋体" w:hAnsi="宋体" w:cs="宋体"/>
                <w:bCs/>
                <w14:ligatures w14:val="standardContextual"/>
              </w:rPr>
              <w:t>编制税务管理手册</w:t>
            </w:r>
          </w:p>
        </w:tc>
      </w:tr>
      <w:tr w14:paraId="7900E10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09" w:type="dxa"/>
            <w:vAlign w:val="center"/>
          </w:tcPr>
          <w:p w14:paraId="4E9F3D9F">
            <w:pPr>
              <w:pStyle w:val="7"/>
              <w:widowControl/>
              <w:numPr>
                <w:ilvl w:val="0"/>
                <w:numId w:val="7"/>
              </w:numPr>
              <w:adjustRightInd w:val="0"/>
              <w:snapToGrid w:val="0"/>
              <w:spacing w:line="440" w:lineRule="exact"/>
              <w:ind w:firstLineChars="0"/>
              <w:rPr>
                <w:rFonts w:hint="eastAsia" w:ascii="宋体" w:hAnsi="宋体" w:cs="宋体"/>
                <w:bCs/>
                <w14:ligatures w14:val="standardContextual"/>
              </w:rPr>
            </w:pPr>
          </w:p>
        </w:tc>
        <w:tc>
          <w:tcPr>
            <w:tcW w:w="3907" w:type="dxa"/>
            <w:vAlign w:val="center"/>
          </w:tcPr>
          <w:p w14:paraId="4E0BD254">
            <w:pPr>
              <w:widowControl/>
              <w:adjustRightInd w:val="0"/>
              <w:snapToGrid w:val="0"/>
              <w:spacing w:line="440" w:lineRule="exact"/>
              <w:rPr>
                <w:rFonts w:hint="eastAsia" w:ascii="宋体" w:hAnsi="宋体" w:cs="宋体"/>
                <w:bCs/>
                <w14:ligatures w14:val="standardContextual"/>
              </w:rPr>
            </w:pPr>
            <w:r>
              <w:rPr>
                <w:rFonts w:hint="eastAsia" w:ascii="宋体" w:hAnsi="宋体" w:cs="宋体"/>
                <w:bCs/>
                <w14:ligatures w14:val="standardContextual"/>
              </w:rPr>
              <w:t>广州市巴士集团有限公司</w:t>
            </w:r>
          </w:p>
        </w:tc>
        <w:tc>
          <w:tcPr>
            <w:tcW w:w="1905" w:type="dxa"/>
            <w:vAlign w:val="center"/>
          </w:tcPr>
          <w:p w14:paraId="3690CAFD">
            <w:pPr>
              <w:widowControl/>
              <w:adjustRightInd w:val="0"/>
              <w:snapToGrid w:val="0"/>
              <w:spacing w:line="440" w:lineRule="exact"/>
              <w:rPr>
                <w:rFonts w:hint="eastAsia" w:ascii="宋体" w:hAnsi="宋体" w:cs="宋体"/>
                <w:bCs/>
                <w14:ligatures w14:val="standardContextual"/>
              </w:rPr>
            </w:pPr>
            <w:r>
              <w:rPr>
                <w:rFonts w:hint="eastAsia" w:ascii="宋体" w:hAnsi="宋体" w:cs="宋体"/>
                <w:bCs/>
                <w14:ligatures w14:val="standardContextual"/>
              </w:rPr>
              <w:t>市属国企</w:t>
            </w:r>
          </w:p>
        </w:tc>
        <w:tc>
          <w:tcPr>
            <w:tcW w:w="2241" w:type="dxa"/>
          </w:tcPr>
          <w:p w14:paraId="6BC82A05">
            <w:pPr>
              <w:widowControl/>
              <w:adjustRightInd w:val="0"/>
              <w:snapToGrid w:val="0"/>
              <w:spacing w:line="440" w:lineRule="exact"/>
              <w:jc w:val="left"/>
              <w:rPr>
                <w:rFonts w:hint="eastAsia" w:ascii="宋体" w:hAnsi="宋体" w:cs="宋体"/>
                <w:bCs/>
                <w14:ligatures w14:val="standardContextual"/>
              </w:rPr>
            </w:pPr>
            <w:r>
              <w:rPr>
                <w:rFonts w:hint="eastAsia" w:ascii="宋体" w:hAnsi="宋体" w:cs="宋体"/>
                <w:bCs/>
                <w14:ligatures w14:val="standardContextual"/>
              </w:rPr>
              <w:t>税务合规性检查</w:t>
            </w:r>
          </w:p>
        </w:tc>
      </w:tr>
      <w:tr w14:paraId="5F56A85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09" w:type="dxa"/>
            <w:vAlign w:val="center"/>
          </w:tcPr>
          <w:p w14:paraId="31C68478">
            <w:pPr>
              <w:pStyle w:val="7"/>
              <w:widowControl/>
              <w:numPr>
                <w:ilvl w:val="0"/>
                <w:numId w:val="7"/>
              </w:numPr>
              <w:adjustRightInd w:val="0"/>
              <w:snapToGrid w:val="0"/>
              <w:spacing w:line="440" w:lineRule="exact"/>
              <w:ind w:firstLineChars="0"/>
              <w:rPr>
                <w:rFonts w:hint="eastAsia" w:ascii="宋体" w:hAnsi="宋体" w:cs="宋体"/>
                <w:bCs/>
                <w14:ligatures w14:val="standardContextual"/>
              </w:rPr>
            </w:pPr>
          </w:p>
        </w:tc>
        <w:tc>
          <w:tcPr>
            <w:tcW w:w="3907" w:type="dxa"/>
            <w:vAlign w:val="center"/>
          </w:tcPr>
          <w:p w14:paraId="27D4B3DB">
            <w:pPr>
              <w:widowControl/>
              <w:adjustRightInd w:val="0"/>
              <w:snapToGrid w:val="0"/>
              <w:spacing w:line="440" w:lineRule="exact"/>
              <w:rPr>
                <w:rFonts w:hint="eastAsia" w:ascii="宋体" w:hAnsi="宋体" w:cs="宋体"/>
                <w:bCs/>
                <w14:ligatures w14:val="standardContextual"/>
              </w:rPr>
            </w:pPr>
            <w:r>
              <w:rPr>
                <w:rFonts w:hint="eastAsia" w:ascii="宋体" w:hAnsi="宋体" w:cs="宋体"/>
                <w:bCs/>
                <w14:ligatures w14:val="standardContextual"/>
              </w:rPr>
              <w:t>佛山市南海佛广交通集团有限公司</w:t>
            </w:r>
          </w:p>
        </w:tc>
        <w:tc>
          <w:tcPr>
            <w:tcW w:w="1905" w:type="dxa"/>
            <w:vAlign w:val="center"/>
          </w:tcPr>
          <w:p w14:paraId="26049E3E">
            <w:pPr>
              <w:widowControl/>
              <w:adjustRightInd w:val="0"/>
              <w:snapToGrid w:val="0"/>
              <w:spacing w:line="440" w:lineRule="exact"/>
              <w:rPr>
                <w:rFonts w:hint="eastAsia" w:ascii="宋体" w:hAnsi="宋体" w:cs="宋体"/>
                <w:bCs/>
                <w14:ligatures w14:val="standardContextual"/>
              </w:rPr>
            </w:pPr>
            <w:r>
              <w:rPr>
                <w:rFonts w:hint="eastAsia" w:ascii="宋体" w:hAnsi="宋体" w:cs="宋体"/>
                <w:bCs/>
                <w14:ligatures w14:val="standardContextual"/>
              </w:rPr>
              <w:t>市属国企</w:t>
            </w:r>
          </w:p>
        </w:tc>
        <w:tc>
          <w:tcPr>
            <w:tcW w:w="2241" w:type="dxa"/>
          </w:tcPr>
          <w:p w14:paraId="1A378785">
            <w:pPr>
              <w:widowControl/>
              <w:adjustRightInd w:val="0"/>
              <w:snapToGrid w:val="0"/>
              <w:spacing w:line="440" w:lineRule="exact"/>
              <w:jc w:val="left"/>
              <w:rPr>
                <w:rFonts w:hint="eastAsia" w:ascii="宋体" w:hAnsi="宋体" w:cs="宋体"/>
                <w:bCs/>
                <w14:ligatures w14:val="standardContextual"/>
              </w:rPr>
            </w:pPr>
            <w:r>
              <w:rPr>
                <w:rFonts w:hint="eastAsia" w:ascii="宋体" w:hAnsi="宋体" w:cs="宋体"/>
                <w:bCs/>
                <w14:ligatures w14:val="standardContextual"/>
              </w:rPr>
              <w:t>税务合规性检查</w:t>
            </w:r>
          </w:p>
        </w:tc>
      </w:tr>
      <w:tr w14:paraId="14E7957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09" w:type="dxa"/>
            <w:vAlign w:val="center"/>
          </w:tcPr>
          <w:p w14:paraId="1A86210D">
            <w:pPr>
              <w:pStyle w:val="7"/>
              <w:widowControl/>
              <w:numPr>
                <w:ilvl w:val="0"/>
                <w:numId w:val="7"/>
              </w:numPr>
              <w:adjustRightInd w:val="0"/>
              <w:snapToGrid w:val="0"/>
              <w:spacing w:line="440" w:lineRule="exact"/>
              <w:ind w:firstLineChars="0"/>
              <w:rPr>
                <w:rFonts w:hint="eastAsia" w:ascii="宋体" w:hAnsi="宋体" w:cs="宋体"/>
                <w:bCs/>
                <w14:ligatures w14:val="standardContextual"/>
              </w:rPr>
            </w:pPr>
          </w:p>
        </w:tc>
        <w:tc>
          <w:tcPr>
            <w:tcW w:w="3907" w:type="dxa"/>
            <w:vAlign w:val="center"/>
          </w:tcPr>
          <w:p w14:paraId="26AEAFB7">
            <w:pPr>
              <w:widowControl/>
              <w:adjustRightInd w:val="0"/>
              <w:snapToGrid w:val="0"/>
              <w:spacing w:line="440" w:lineRule="exact"/>
              <w:rPr>
                <w:rFonts w:hint="eastAsia" w:ascii="宋体" w:hAnsi="宋体" w:cs="宋体"/>
                <w:bCs/>
                <w14:ligatures w14:val="standardContextual"/>
              </w:rPr>
            </w:pPr>
            <w:r>
              <w:rPr>
                <w:rFonts w:hint="eastAsia" w:ascii="宋体" w:hAnsi="宋体" w:cs="宋体"/>
                <w:bCs/>
                <w14:ligatures w14:val="standardContextual"/>
              </w:rPr>
              <w:t>广东荣嘉新材料科技有限公司</w:t>
            </w:r>
          </w:p>
        </w:tc>
        <w:tc>
          <w:tcPr>
            <w:tcW w:w="1905" w:type="dxa"/>
            <w:vAlign w:val="center"/>
          </w:tcPr>
          <w:p w14:paraId="1697B79B">
            <w:pPr>
              <w:widowControl/>
              <w:adjustRightInd w:val="0"/>
              <w:snapToGrid w:val="0"/>
              <w:spacing w:line="440" w:lineRule="exact"/>
              <w:rPr>
                <w:rFonts w:hint="eastAsia" w:ascii="宋体" w:hAnsi="宋体" w:cs="宋体"/>
                <w:bCs/>
                <w14:ligatures w14:val="standardContextual"/>
              </w:rPr>
            </w:pPr>
            <w:r>
              <w:rPr>
                <w:rFonts w:hint="eastAsia" w:ascii="宋体" w:hAnsi="宋体" w:cs="宋体"/>
                <w:bCs/>
                <w14:ligatures w14:val="standardContextual"/>
              </w:rPr>
              <w:t>民营企业</w:t>
            </w:r>
          </w:p>
        </w:tc>
        <w:tc>
          <w:tcPr>
            <w:tcW w:w="2241" w:type="dxa"/>
          </w:tcPr>
          <w:p w14:paraId="556B6AA8">
            <w:pPr>
              <w:widowControl/>
              <w:adjustRightInd w:val="0"/>
              <w:snapToGrid w:val="0"/>
              <w:spacing w:line="440" w:lineRule="exact"/>
              <w:jc w:val="left"/>
              <w:rPr>
                <w:rFonts w:hint="eastAsia" w:ascii="宋体" w:hAnsi="宋体" w:cs="宋体"/>
                <w:bCs/>
                <w14:ligatures w14:val="standardContextual"/>
              </w:rPr>
            </w:pPr>
            <w:r>
              <w:rPr>
                <w:rFonts w:hint="eastAsia" w:ascii="宋体" w:hAnsi="宋体" w:cs="宋体"/>
                <w:bCs/>
                <w14:ligatures w14:val="standardContextual"/>
              </w:rPr>
              <w:t>税务合规性检查</w:t>
            </w:r>
          </w:p>
        </w:tc>
      </w:tr>
      <w:tr w14:paraId="69E757B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09" w:type="dxa"/>
            <w:vAlign w:val="center"/>
          </w:tcPr>
          <w:p w14:paraId="135D8EF6">
            <w:pPr>
              <w:pStyle w:val="7"/>
              <w:widowControl/>
              <w:numPr>
                <w:ilvl w:val="0"/>
                <w:numId w:val="7"/>
              </w:numPr>
              <w:adjustRightInd w:val="0"/>
              <w:snapToGrid w:val="0"/>
              <w:spacing w:line="440" w:lineRule="exact"/>
              <w:ind w:firstLineChars="0"/>
              <w:rPr>
                <w:rFonts w:hint="eastAsia" w:ascii="宋体" w:hAnsi="宋体" w:cs="宋体"/>
                <w:bCs/>
                <w14:ligatures w14:val="standardContextual"/>
              </w:rPr>
            </w:pPr>
          </w:p>
        </w:tc>
        <w:tc>
          <w:tcPr>
            <w:tcW w:w="3907" w:type="dxa"/>
            <w:vAlign w:val="center"/>
          </w:tcPr>
          <w:p w14:paraId="07422499">
            <w:pPr>
              <w:widowControl/>
              <w:adjustRightInd w:val="0"/>
              <w:snapToGrid w:val="0"/>
              <w:spacing w:line="440" w:lineRule="exact"/>
              <w:rPr>
                <w:rFonts w:hint="eastAsia" w:ascii="宋体" w:hAnsi="宋体" w:cs="宋体"/>
                <w:bCs/>
                <w14:ligatures w14:val="standardContextual"/>
              </w:rPr>
            </w:pPr>
            <w:r>
              <w:rPr>
                <w:rFonts w:hint="eastAsia" w:ascii="宋体" w:hAnsi="宋体" w:cs="宋体"/>
                <w:bCs/>
                <w14:ligatures w14:val="standardContextual"/>
              </w:rPr>
              <w:t>九州通医药集团股份有限公司</w:t>
            </w:r>
          </w:p>
        </w:tc>
        <w:tc>
          <w:tcPr>
            <w:tcW w:w="1905" w:type="dxa"/>
            <w:vAlign w:val="center"/>
          </w:tcPr>
          <w:p w14:paraId="0F82C206">
            <w:pPr>
              <w:widowControl/>
              <w:adjustRightInd w:val="0"/>
              <w:snapToGrid w:val="0"/>
              <w:spacing w:line="440" w:lineRule="exact"/>
              <w:rPr>
                <w:rFonts w:hint="eastAsia" w:ascii="宋体" w:hAnsi="宋体" w:cs="宋体"/>
                <w:bCs/>
                <w14:ligatures w14:val="standardContextual"/>
              </w:rPr>
            </w:pPr>
            <w:r>
              <w:rPr>
                <w:rFonts w:hint="eastAsia" w:ascii="宋体" w:hAnsi="宋体" w:cs="宋体"/>
                <w:bCs/>
                <w14:ligatures w14:val="standardContextual"/>
              </w:rPr>
              <w:t>民营企业</w:t>
            </w:r>
          </w:p>
        </w:tc>
        <w:tc>
          <w:tcPr>
            <w:tcW w:w="2241" w:type="dxa"/>
          </w:tcPr>
          <w:p w14:paraId="265A1BC0">
            <w:pPr>
              <w:widowControl/>
              <w:adjustRightInd w:val="0"/>
              <w:snapToGrid w:val="0"/>
              <w:spacing w:line="440" w:lineRule="exact"/>
              <w:jc w:val="left"/>
              <w:rPr>
                <w:rFonts w:hint="eastAsia" w:ascii="宋体" w:hAnsi="宋体" w:cs="宋体"/>
                <w:bCs/>
                <w14:ligatures w14:val="standardContextual"/>
              </w:rPr>
            </w:pPr>
            <w:r>
              <w:rPr>
                <w:rFonts w:hint="eastAsia" w:ascii="宋体" w:hAnsi="宋体" w:cs="宋体"/>
                <w:bCs/>
                <w14:ligatures w14:val="standardContextual"/>
              </w:rPr>
              <w:t>不动产Reits税务策划</w:t>
            </w:r>
          </w:p>
        </w:tc>
      </w:tr>
      <w:tr w14:paraId="1DA3643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09" w:type="dxa"/>
            <w:vAlign w:val="center"/>
          </w:tcPr>
          <w:p w14:paraId="6B1DAFF8">
            <w:pPr>
              <w:pStyle w:val="7"/>
              <w:widowControl/>
              <w:numPr>
                <w:ilvl w:val="0"/>
                <w:numId w:val="7"/>
              </w:numPr>
              <w:adjustRightInd w:val="0"/>
              <w:snapToGrid w:val="0"/>
              <w:spacing w:line="440" w:lineRule="exact"/>
              <w:ind w:firstLineChars="0"/>
              <w:rPr>
                <w:rFonts w:hint="eastAsia" w:ascii="宋体" w:hAnsi="宋体" w:cs="宋体"/>
                <w:bCs/>
                <w14:ligatures w14:val="standardContextual"/>
              </w:rPr>
            </w:pPr>
          </w:p>
        </w:tc>
        <w:tc>
          <w:tcPr>
            <w:tcW w:w="3907" w:type="dxa"/>
            <w:vAlign w:val="center"/>
          </w:tcPr>
          <w:p w14:paraId="6CF4B3C7">
            <w:pPr>
              <w:widowControl/>
              <w:adjustRightInd w:val="0"/>
              <w:snapToGrid w:val="0"/>
              <w:spacing w:line="440" w:lineRule="exact"/>
              <w:rPr>
                <w:rFonts w:hint="eastAsia" w:ascii="宋体" w:hAnsi="宋体" w:cs="宋体"/>
                <w:bCs/>
                <w14:ligatures w14:val="standardContextual"/>
              </w:rPr>
            </w:pPr>
            <w:r>
              <w:rPr>
                <w:rFonts w:hint="eastAsia" w:ascii="宋体" w:hAnsi="宋体" w:cs="宋体"/>
                <w:bCs/>
                <w14:ligatures w14:val="standardContextual"/>
              </w:rPr>
              <w:t>上海国泰海通证券资产管理有限公司</w:t>
            </w:r>
          </w:p>
        </w:tc>
        <w:tc>
          <w:tcPr>
            <w:tcW w:w="1905" w:type="dxa"/>
            <w:vAlign w:val="center"/>
          </w:tcPr>
          <w:p w14:paraId="02A1CEB6">
            <w:pPr>
              <w:widowControl/>
              <w:adjustRightInd w:val="0"/>
              <w:snapToGrid w:val="0"/>
              <w:spacing w:line="440" w:lineRule="exact"/>
              <w:rPr>
                <w:rFonts w:hint="eastAsia" w:ascii="宋体" w:hAnsi="宋体" w:cs="宋体"/>
                <w:bCs/>
                <w14:ligatures w14:val="standardContextual"/>
              </w:rPr>
            </w:pPr>
            <w:r>
              <w:rPr>
                <w:rFonts w:hint="eastAsia" w:ascii="宋体" w:hAnsi="宋体" w:cs="宋体"/>
                <w:bCs/>
                <w14:ligatures w14:val="standardContextual"/>
              </w:rPr>
              <w:t>省属国企</w:t>
            </w:r>
          </w:p>
        </w:tc>
        <w:tc>
          <w:tcPr>
            <w:tcW w:w="2241" w:type="dxa"/>
          </w:tcPr>
          <w:p w14:paraId="1483C182">
            <w:pPr>
              <w:widowControl/>
              <w:adjustRightInd w:val="0"/>
              <w:snapToGrid w:val="0"/>
              <w:spacing w:line="440" w:lineRule="exact"/>
              <w:jc w:val="left"/>
              <w:rPr>
                <w:rFonts w:hint="eastAsia" w:ascii="宋体" w:hAnsi="宋体" w:cs="宋体"/>
                <w:bCs/>
                <w14:ligatures w14:val="standardContextual"/>
              </w:rPr>
            </w:pPr>
            <w:r>
              <w:rPr>
                <w:rFonts w:hint="eastAsia" w:ascii="宋体" w:hAnsi="宋体" w:cs="宋体"/>
                <w:bCs/>
                <w14:ligatures w14:val="standardContextual"/>
              </w:rPr>
              <w:t>不动产Reits税务策划</w:t>
            </w:r>
          </w:p>
        </w:tc>
      </w:tr>
      <w:tr w14:paraId="4EFAF75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09" w:type="dxa"/>
            <w:vAlign w:val="center"/>
          </w:tcPr>
          <w:p w14:paraId="204816C7">
            <w:pPr>
              <w:pStyle w:val="7"/>
              <w:widowControl/>
              <w:numPr>
                <w:ilvl w:val="0"/>
                <w:numId w:val="7"/>
              </w:numPr>
              <w:adjustRightInd w:val="0"/>
              <w:snapToGrid w:val="0"/>
              <w:spacing w:line="440" w:lineRule="exact"/>
              <w:ind w:firstLineChars="0"/>
              <w:rPr>
                <w:rFonts w:hint="eastAsia" w:ascii="宋体" w:hAnsi="宋体" w:cs="宋体"/>
                <w:bCs/>
                <w14:ligatures w14:val="standardContextual"/>
              </w:rPr>
            </w:pPr>
          </w:p>
        </w:tc>
        <w:tc>
          <w:tcPr>
            <w:tcW w:w="3907" w:type="dxa"/>
            <w:vAlign w:val="center"/>
          </w:tcPr>
          <w:p w14:paraId="089E9BC0">
            <w:pPr>
              <w:widowControl/>
              <w:adjustRightInd w:val="0"/>
              <w:snapToGrid w:val="0"/>
              <w:spacing w:line="440" w:lineRule="exact"/>
              <w:rPr>
                <w:rFonts w:hint="eastAsia" w:ascii="宋体" w:hAnsi="宋体" w:cs="宋体"/>
                <w:bCs/>
                <w14:ligatures w14:val="standardContextual"/>
              </w:rPr>
            </w:pPr>
            <w:r>
              <w:rPr>
                <w:rFonts w:hint="eastAsia" w:ascii="宋体" w:hAnsi="宋体" w:cs="宋体"/>
                <w:bCs/>
                <w14:ligatures w14:val="standardContextual"/>
              </w:rPr>
              <w:t>佳都集团有限公司</w:t>
            </w:r>
          </w:p>
        </w:tc>
        <w:tc>
          <w:tcPr>
            <w:tcW w:w="1905" w:type="dxa"/>
            <w:vAlign w:val="center"/>
          </w:tcPr>
          <w:p w14:paraId="47C9C4DB">
            <w:pPr>
              <w:widowControl/>
              <w:adjustRightInd w:val="0"/>
              <w:snapToGrid w:val="0"/>
              <w:spacing w:line="440" w:lineRule="exact"/>
              <w:rPr>
                <w:rFonts w:hint="eastAsia" w:ascii="宋体" w:hAnsi="宋体" w:cs="宋体"/>
                <w:bCs/>
                <w14:ligatures w14:val="standardContextual"/>
              </w:rPr>
            </w:pPr>
            <w:r>
              <w:rPr>
                <w:rFonts w:hint="eastAsia" w:ascii="宋体" w:hAnsi="宋体" w:cs="宋体"/>
                <w:bCs/>
                <w14:ligatures w14:val="standardContextual"/>
              </w:rPr>
              <w:t>民营企业/上市公司</w:t>
            </w:r>
          </w:p>
        </w:tc>
        <w:tc>
          <w:tcPr>
            <w:tcW w:w="2241" w:type="dxa"/>
          </w:tcPr>
          <w:p w14:paraId="2291D090">
            <w:pPr>
              <w:widowControl/>
              <w:adjustRightInd w:val="0"/>
              <w:snapToGrid w:val="0"/>
              <w:spacing w:line="440" w:lineRule="exact"/>
              <w:jc w:val="left"/>
              <w:rPr>
                <w:rFonts w:hint="eastAsia" w:ascii="宋体" w:hAnsi="宋体" w:cs="宋体"/>
                <w:bCs/>
                <w14:ligatures w14:val="standardContextual"/>
              </w:rPr>
            </w:pPr>
            <w:r>
              <w:rPr>
                <w:rFonts w:hint="eastAsia" w:ascii="宋体" w:hAnsi="宋体" w:cs="宋体"/>
                <w:bCs/>
                <w14:ligatures w14:val="standardContextual"/>
              </w:rPr>
              <w:t>不动产Reits税务策划</w:t>
            </w:r>
          </w:p>
        </w:tc>
      </w:tr>
      <w:tr w14:paraId="37861AA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09" w:type="dxa"/>
            <w:vAlign w:val="center"/>
          </w:tcPr>
          <w:p w14:paraId="0CEF5B9D">
            <w:pPr>
              <w:pStyle w:val="7"/>
              <w:widowControl/>
              <w:numPr>
                <w:ilvl w:val="0"/>
                <w:numId w:val="7"/>
              </w:numPr>
              <w:adjustRightInd w:val="0"/>
              <w:snapToGrid w:val="0"/>
              <w:spacing w:line="440" w:lineRule="exact"/>
              <w:ind w:firstLineChars="0"/>
              <w:rPr>
                <w:rFonts w:hint="eastAsia" w:ascii="宋体" w:hAnsi="宋体" w:cs="宋体"/>
                <w:bCs/>
                <w14:ligatures w14:val="standardContextual"/>
              </w:rPr>
            </w:pPr>
          </w:p>
        </w:tc>
        <w:tc>
          <w:tcPr>
            <w:tcW w:w="3907" w:type="dxa"/>
            <w:vAlign w:val="center"/>
          </w:tcPr>
          <w:p w14:paraId="559A4072">
            <w:pPr>
              <w:widowControl/>
              <w:adjustRightInd w:val="0"/>
              <w:snapToGrid w:val="0"/>
              <w:spacing w:line="440" w:lineRule="exact"/>
              <w:rPr>
                <w:rFonts w:hint="eastAsia" w:ascii="宋体" w:hAnsi="宋体" w:cs="宋体"/>
                <w:bCs/>
                <w14:ligatures w14:val="standardContextual"/>
              </w:rPr>
            </w:pPr>
            <w:r>
              <w:rPr>
                <w:rFonts w:hint="eastAsia" w:ascii="宋体" w:hAnsi="宋体" w:cs="宋体"/>
                <w:bCs/>
                <w14:ligatures w14:val="standardContextual"/>
              </w:rPr>
              <w:t>广州源通房地产开发有公司</w:t>
            </w:r>
          </w:p>
        </w:tc>
        <w:tc>
          <w:tcPr>
            <w:tcW w:w="1905" w:type="dxa"/>
            <w:vAlign w:val="center"/>
          </w:tcPr>
          <w:p w14:paraId="19A727EA">
            <w:pPr>
              <w:widowControl/>
              <w:adjustRightInd w:val="0"/>
              <w:snapToGrid w:val="0"/>
              <w:spacing w:line="440" w:lineRule="exact"/>
              <w:rPr>
                <w:rFonts w:hint="eastAsia" w:ascii="宋体" w:hAnsi="宋体" w:cs="宋体"/>
                <w:bCs/>
                <w14:ligatures w14:val="standardContextual"/>
              </w:rPr>
            </w:pPr>
            <w:r>
              <w:rPr>
                <w:rFonts w:hint="eastAsia" w:ascii="宋体" w:hAnsi="宋体" w:cs="宋体"/>
                <w:bCs/>
                <w14:ligatures w14:val="standardContextual"/>
              </w:rPr>
              <w:t>市属国企</w:t>
            </w:r>
          </w:p>
        </w:tc>
        <w:tc>
          <w:tcPr>
            <w:tcW w:w="2241" w:type="dxa"/>
          </w:tcPr>
          <w:p w14:paraId="3CB2EEF6">
            <w:pPr>
              <w:widowControl/>
              <w:adjustRightInd w:val="0"/>
              <w:snapToGrid w:val="0"/>
              <w:spacing w:line="440" w:lineRule="exact"/>
              <w:jc w:val="left"/>
              <w:rPr>
                <w:rFonts w:hint="eastAsia" w:ascii="宋体" w:hAnsi="宋体" w:cs="宋体"/>
                <w:bCs/>
                <w14:ligatures w14:val="standardContextual"/>
              </w:rPr>
            </w:pPr>
            <w:r>
              <w:rPr>
                <w:rFonts w:hint="eastAsia" w:ascii="宋体" w:hAnsi="宋体" w:cs="宋体"/>
                <w:bCs/>
                <w14:ligatures w14:val="standardContextual"/>
              </w:rPr>
              <w:t>资产重组税收策划</w:t>
            </w:r>
          </w:p>
        </w:tc>
      </w:tr>
      <w:tr w14:paraId="59BBEA4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09" w:type="dxa"/>
            <w:vAlign w:val="center"/>
          </w:tcPr>
          <w:p w14:paraId="2EB83C00">
            <w:pPr>
              <w:pStyle w:val="7"/>
              <w:widowControl/>
              <w:numPr>
                <w:ilvl w:val="0"/>
                <w:numId w:val="7"/>
              </w:numPr>
              <w:adjustRightInd w:val="0"/>
              <w:snapToGrid w:val="0"/>
              <w:spacing w:line="440" w:lineRule="exact"/>
              <w:ind w:firstLineChars="0"/>
              <w:rPr>
                <w:rFonts w:hint="eastAsia" w:ascii="宋体" w:hAnsi="宋体" w:cs="宋体"/>
                <w:bCs/>
                <w14:ligatures w14:val="standardContextual"/>
              </w:rPr>
            </w:pPr>
          </w:p>
        </w:tc>
        <w:tc>
          <w:tcPr>
            <w:tcW w:w="3907" w:type="dxa"/>
            <w:vAlign w:val="center"/>
          </w:tcPr>
          <w:p w14:paraId="6CE2979A">
            <w:pPr>
              <w:widowControl/>
              <w:adjustRightInd w:val="0"/>
              <w:snapToGrid w:val="0"/>
              <w:spacing w:line="440" w:lineRule="exact"/>
              <w:rPr>
                <w:rFonts w:hint="eastAsia" w:ascii="宋体" w:hAnsi="宋体" w:cs="宋体"/>
                <w:bCs/>
                <w14:ligatures w14:val="standardContextual"/>
              </w:rPr>
            </w:pPr>
            <w:r>
              <w:rPr>
                <w:rFonts w:hint="eastAsia" w:ascii="宋体" w:hAnsi="宋体" w:cs="宋体"/>
                <w:bCs/>
                <w14:ligatures w14:val="standardContextual"/>
              </w:rPr>
              <w:t>万力轮胎股份有限公司</w:t>
            </w:r>
          </w:p>
        </w:tc>
        <w:tc>
          <w:tcPr>
            <w:tcW w:w="1905" w:type="dxa"/>
            <w:vAlign w:val="center"/>
          </w:tcPr>
          <w:p w14:paraId="4BDED359">
            <w:pPr>
              <w:widowControl/>
              <w:adjustRightInd w:val="0"/>
              <w:snapToGrid w:val="0"/>
              <w:spacing w:line="440" w:lineRule="exact"/>
              <w:rPr>
                <w:rFonts w:hint="eastAsia" w:ascii="宋体" w:hAnsi="宋体" w:cs="宋体"/>
                <w:bCs/>
                <w14:ligatures w14:val="standardContextual"/>
              </w:rPr>
            </w:pPr>
            <w:r>
              <w:rPr>
                <w:rFonts w:hint="eastAsia" w:ascii="宋体" w:hAnsi="宋体" w:cs="宋体"/>
                <w:bCs/>
                <w14:ligatures w14:val="standardContextual"/>
              </w:rPr>
              <w:t>市属国企</w:t>
            </w:r>
          </w:p>
        </w:tc>
        <w:tc>
          <w:tcPr>
            <w:tcW w:w="2241" w:type="dxa"/>
          </w:tcPr>
          <w:p w14:paraId="3E5EE675">
            <w:pPr>
              <w:widowControl/>
              <w:adjustRightInd w:val="0"/>
              <w:snapToGrid w:val="0"/>
              <w:spacing w:line="440" w:lineRule="exact"/>
              <w:jc w:val="left"/>
              <w:rPr>
                <w:rFonts w:hint="eastAsia" w:ascii="宋体" w:hAnsi="宋体" w:cs="宋体"/>
                <w:bCs/>
                <w14:ligatures w14:val="standardContextual"/>
              </w:rPr>
            </w:pPr>
            <w:r>
              <w:rPr>
                <w:rFonts w:hint="eastAsia" w:ascii="宋体" w:hAnsi="宋体" w:cs="宋体"/>
                <w:bCs/>
                <w14:ligatures w14:val="standardContextual"/>
              </w:rPr>
              <w:t>转让定价同期资料</w:t>
            </w:r>
          </w:p>
        </w:tc>
      </w:tr>
      <w:tr w14:paraId="404EEB0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09" w:type="dxa"/>
            <w:vAlign w:val="center"/>
          </w:tcPr>
          <w:p w14:paraId="19175C1E">
            <w:pPr>
              <w:pStyle w:val="7"/>
              <w:widowControl/>
              <w:numPr>
                <w:ilvl w:val="0"/>
                <w:numId w:val="7"/>
              </w:numPr>
              <w:adjustRightInd w:val="0"/>
              <w:snapToGrid w:val="0"/>
              <w:spacing w:line="440" w:lineRule="exact"/>
              <w:ind w:firstLineChars="0"/>
              <w:rPr>
                <w:rFonts w:hint="eastAsia" w:ascii="宋体" w:hAnsi="宋体" w:cs="宋体"/>
                <w:bCs/>
                <w14:ligatures w14:val="standardContextual"/>
              </w:rPr>
            </w:pPr>
          </w:p>
        </w:tc>
        <w:tc>
          <w:tcPr>
            <w:tcW w:w="3907" w:type="dxa"/>
            <w:vAlign w:val="center"/>
          </w:tcPr>
          <w:p w14:paraId="3035B8D3">
            <w:pPr>
              <w:widowControl/>
              <w:adjustRightInd w:val="0"/>
              <w:snapToGrid w:val="0"/>
              <w:spacing w:line="440" w:lineRule="exact"/>
              <w:rPr>
                <w:rFonts w:hint="eastAsia" w:ascii="宋体" w:hAnsi="宋体" w:cs="宋体"/>
                <w:bCs/>
                <w14:ligatures w14:val="standardContextual"/>
              </w:rPr>
            </w:pPr>
            <w:r>
              <w:rPr>
                <w:rFonts w:hint="eastAsia" w:ascii="宋体" w:hAnsi="宋体" w:cs="宋体"/>
                <w:bCs/>
                <w14:ligatures w14:val="standardContextual"/>
              </w:rPr>
              <w:t>广电运通集团股份有限公司（002152）</w:t>
            </w:r>
          </w:p>
        </w:tc>
        <w:tc>
          <w:tcPr>
            <w:tcW w:w="1905" w:type="dxa"/>
            <w:vAlign w:val="center"/>
          </w:tcPr>
          <w:p w14:paraId="18004CE6">
            <w:pPr>
              <w:widowControl/>
              <w:adjustRightInd w:val="0"/>
              <w:snapToGrid w:val="0"/>
              <w:spacing w:line="440" w:lineRule="exact"/>
              <w:rPr>
                <w:rFonts w:hint="eastAsia" w:ascii="宋体" w:hAnsi="宋体" w:cs="宋体"/>
                <w:bCs/>
                <w14:ligatures w14:val="standardContextual"/>
              </w:rPr>
            </w:pPr>
            <w:r>
              <w:rPr>
                <w:rFonts w:hint="eastAsia" w:ascii="宋体" w:hAnsi="宋体" w:cs="宋体"/>
                <w:bCs/>
                <w14:ligatures w14:val="standardContextual"/>
              </w:rPr>
              <w:t>市属国企/上市公司</w:t>
            </w:r>
          </w:p>
        </w:tc>
        <w:tc>
          <w:tcPr>
            <w:tcW w:w="2241" w:type="dxa"/>
          </w:tcPr>
          <w:p w14:paraId="5E92C9A7">
            <w:pPr>
              <w:widowControl/>
              <w:adjustRightInd w:val="0"/>
              <w:snapToGrid w:val="0"/>
              <w:spacing w:line="440" w:lineRule="exact"/>
              <w:jc w:val="left"/>
              <w:rPr>
                <w:rFonts w:hint="eastAsia" w:ascii="宋体" w:hAnsi="宋体" w:cs="宋体"/>
                <w:bCs/>
                <w14:ligatures w14:val="standardContextual"/>
              </w:rPr>
            </w:pPr>
            <w:r>
              <w:rPr>
                <w:rFonts w:hint="eastAsia" w:ascii="宋体" w:hAnsi="宋体" w:cs="宋体"/>
                <w:bCs/>
                <w14:ligatures w14:val="standardContextual"/>
              </w:rPr>
              <w:t>转让定价同期资料</w:t>
            </w:r>
          </w:p>
        </w:tc>
      </w:tr>
      <w:tr w14:paraId="768D7D5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09" w:type="dxa"/>
            <w:vAlign w:val="center"/>
          </w:tcPr>
          <w:p w14:paraId="2E9C3454">
            <w:pPr>
              <w:pStyle w:val="7"/>
              <w:widowControl/>
              <w:numPr>
                <w:ilvl w:val="0"/>
                <w:numId w:val="7"/>
              </w:numPr>
              <w:adjustRightInd w:val="0"/>
              <w:snapToGrid w:val="0"/>
              <w:spacing w:line="440" w:lineRule="exact"/>
              <w:ind w:firstLineChars="0"/>
              <w:rPr>
                <w:rFonts w:hint="eastAsia" w:ascii="宋体" w:hAnsi="宋体" w:cs="宋体"/>
                <w:bCs/>
                <w14:ligatures w14:val="standardContextual"/>
              </w:rPr>
            </w:pPr>
          </w:p>
        </w:tc>
        <w:tc>
          <w:tcPr>
            <w:tcW w:w="3907" w:type="dxa"/>
            <w:vAlign w:val="center"/>
          </w:tcPr>
          <w:p w14:paraId="399055DB">
            <w:pPr>
              <w:widowControl/>
              <w:adjustRightInd w:val="0"/>
              <w:snapToGrid w:val="0"/>
              <w:spacing w:line="440" w:lineRule="exact"/>
              <w:rPr>
                <w:rFonts w:hint="eastAsia" w:ascii="宋体" w:hAnsi="宋体" w:cs="宋体"/>
                <w:bCs/>
                <w14:ligatures w14:val="standardContextual"/>
              </w:rPr>
            </w:pPr>
            <w:r>
              <w:rPr>
                <w:rFonts w:hint="eastAsia" w:ascii="宋体" w:hAnsi="宋体" w:cs="宋体"/>
                <w:bCs/>
                <w14:ligatures w14:val="standardContextual"/>
              </w:rPr>
              <w:t>佛山佛塑科技集团股份有限公司（000973）</w:t>
            </w:r>
          </w:p>
        </w:tc>
        <w:tc>
          <w:tcPr>
            <w:tcW w:w="1905" w:type="dxa"/>
            <w:vAlign w:val="center"/>
          </w:tcPr>
          <w:p w14:paraId="713A7624">
            <w:pPr>
              <w:widowControl/>
              <w:adjustRightInd w:val="0"/>
              <w:snapToGrid w:val="0"/>
              <w:spacing w:line="440" w:lineRule="exact"/>
              <w:rPr>
                <w:rFonts w:hint="eastAsia" w:ascii="宋体" w:hAnsi="宋体" w:cs="宋体"/>
                <w:bCs/>
                <w14:ligatures w14:val="standardContextual"/>
              </w:rPr>
            </w:pPr>
            <w:r>
              <w:rPr>
                <w:rFonts w:hint="eastAsia" w:ascii="宋体" w:hAnsi="宋体" w:cs="宋体"/>
                <w:bCs/>
                <w14:ligatures w14:val="standardContextual"/>
              </w:rPr>
              <w:t>省属国企/上市公司</w:t>
            </w:r>
          </w:p>
        </w:tc>
        <w:tc>
          <w:tcPr>
            <w:tcW w:w="2241" w:type="dxa"/>
          </w:tcPr>
          <w:p w14:paraId="6AD33D22">
            <w:pPr>
              <w:widowControl/>
              <w:adjustRightInd w:val="0"/>
              <w:snapToGrid w:val="0"/>
              <w:spacing w:line="440" w:lineRule="exact"/>
              <w:jc w:val="left"/>
              <w:rPr>
                <w:rFonts w:hint="eastAsia" w:ascii="宋体" w:hAnsi="宋体" w:cs="宋体"/>
                <w:bCs/>
                <w14:ligatures w14:val="standardContextual"/>
              </w:rPr>
            </w:pPr>
            <w:r>
              <w:rPr>
                <w:rFonts w:hint="eastAsia" w:ascii="宋体" w:hAnsi="宋体" w:cs="宋体"/>
                <w:bCs/>
                <w14:ligatures w14:val="standardContextual"/>
              </w:rPr>
              <w:t>企业所得税汇算清缴</w:t>
            </w:r>
          </w:p>
          <w:p w14:paraId="44DD3D82">
            <w:pPr>
              <w:widowControl/>
              <w:adjustRightInd w:val="0"/>
              <w:snapToGrid w:val="0"/>
              <w:spacing w:line="440" w:lineRule="exact"/>
              <w:jc w:val="left"/>
              <w:rPr>
                <w:rFonts w:hint="eastAsia" w:ascii="宋体" w:hAnsi="宋体" w:cs="宋体"/>
                <w:bCs/>
                <w14:ligatures w14:val="standardContextual"/>
              </w:rPr>
            </w:pPr>
            <w:r>
              <w:rPr>
                <w:rFonts w:hint="eastAsia" w:ascii="宋体" w:hAnsi="宋体" w:cs="宋体"/>
                <w:bCs/>
                <w14:ligatures w14:val="standardContextual"/>
              </w:rPr>
              <w:t>研发加计专项扣除</w:t>
            </w:r>
          </w:p>
        </w:tc>
      </w:tr>
      <w:tr w14:paraId="3383496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09" w:type="dxa"/>
            <w:vAlign w:val="center"/>
          </w:tcPr>
          <w:p w14:paraId="2D0D6524">
            <w:pPr>
              <w:pStyle w:val="7"/>
              <w:widowControl/>
              <w:numPr>
                <w:ilvl w:val="0"/>
                <w:numId w:val="7"/>
              </w:numPr>
              <w:adjustRightInd w:val="0"/>
              <w:snapToGrid w:val="0"/>
              <w:spacing w:line="440" w:lineRule="exact"/>
              <w:ind w:firstLineChars="0"/>
              <w:rPr>
                <w:rFonts w:hint="eastAsia" w:ascii="宋体" w:hAnsi="宋体" w:cs="宋体"/>
                <w:bCs/>
                <w14:ligatures w14:val="standardContextual"/>
              </w:rPr>
            </w:pPr>
          </w:p>
        </w:tc>
        <w:tc>
          <w:tcPr>
            <w:tcW w:w="3907" w:type="dxa"/>
            <w:vAlign w:val="center"/>
          </w:tcPr>
          <w:p w14:paraId="75EDF250">
            <w:pPr>
              <w:widowControl/>
              <w:adjustRightInd w:val="0"/>
              <w:snapToGrid w:val="0"/>
              <w:spacing w:line="440" w:lineRule="exact"/>
              <w:rPr>
                <w:rFonts w:hint="eastAsia" w:ascii="宋体" w:hAnsi="宋体" w:cs="宋体"/>
                <w:bCs/>
                <w14:ligatures w14:val="standardContextual"/>
              </w:rPr>
            </w:pPr>
            <w:r>
              <w:rPr>
                <w:rFonts w:hint="eastAsia" w:ascii="宋体" w:hAnsi="宋体" w:cs="宋体"/>
                <w:bCs/>
                <w14:ligatures w14:val="standardContextual"/>
              </w:rPr>
              <w:t>广州小鹏汽车科技有限公司及下属46家子公司</w:t>
            </w:r>
          </w:p>
        </w:tc>
        <w:tc>
          <w:tcPr>
            <w:tcW w:w="1905" w:type="dxa"/>
            <w:vAlign w:val="center"/>
          </w:tcPr>
          <w:p w14:paraId="4475D7E8">
            <w:pPr>
              <w:widowControl/>
              <w:adjustRightInd w:val="0"/>
              <w:snapToGrid w:val="0"/>
              <w:spacing w:line="440" w:lineRule="exact"/>
              <w:rPr>
                <w:rFonts w:hint="eastAsia" w:ascii="宋体" w:hAnsi="宋体" w:cs="宋体"/>
                <w:bCs/>
                <w14:ligatures w14:val="standardContextual"/>
              </w:rPr>
            </w:pPr>
            <w:r>
              <w:rPr>
                <w:rFonts w:hint="eastAsia" w:ascii="宋体" w:hAnsi="宋体" w:cs="宋体"/>
                <w:bCs/>
                <w14:ligatures w14:val="standardContextual"/>
              </w:rPr>
              <w:t>民营企业</w:t>
            </w:r>
          </w:p>
        </w:tc>
        <w:tc>
          <w:tcPr>
            <w:tcW w:w="2241" w:type="dxa"/>
          </w:tcPr>
          <w:p w14:paraId="77E8A809">
            <w:pPr>
              <w:widowControl/>
              <w:adjustRightInd w:val="0"/>
              <w:snapToGrid w:val="0"/>
              <w:spacing w:line="440" w:lineRule="exact"/>
              <w:jc w:val="left"/>
              <w:rPr>
                <w:rFonts w:hint="eastAsia" w:ascii="宋体" w:hAnsi="宋体" w:cs="宋体"/>
                <w:bCs/>
                <w14:ligatures w14:val="standardContextual"/>
              </w:rPr>
            </w:pPr>
            <w:r>
              <w:rPr>
                <w:rFonts w:hint="eastAsia" w:ascii="宋体" w:hAnsi="宋体" w:cs="宋体"/>
                <w:bCs/>
                <w14:ligatures w14:val="standardContextual"/>
              </w:rPr>
              <w:t>企业所得税汇算清缴</w:t>
            </w:r>
          </w:p>
        </w:tc>
      </w:tr>
      <w:tr w14:paraId="3E7E714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09" w:type="dxa"/>
            <w:vAlign w:val="center"/>
          </w:tcPr>
          <w:p w14:paraId="4EA47A4B">
            <w:pPr>
              <w:pStyle w:val="7"/>
              <w:widowControl/>
              <w:numPr>
                <w:ilvl w:val="0"/>
                <w:numId w:val="7"/>
              </w:numPr>
              <w:adjustRightInd w:val="0"/>
              <w:snapToGrid w:val="0"/>
              <w:spacing w:line="440" w:lineRule="exact"/>
              <w:ind w:firstLineChars="0"/>
              <w:rPr>
                <w:rFonts w:hint="eastAsia" w:ascii="宋体" w:hAnsi="宋体" w:cs="宋体"/>
                <w:bCs/>
                <w14:ligatures w14:val="standardContextual"/>
              </w:rPr>
            </w:pPr>
          </w:p>
        </w:tc>
        <w:tc>
          <w:tcPr>
            <w:tcW w:w="3907" w:type="dxa"/>
            <w:vAlign w:val="center"/>
          </w:tcPr>
          <w:p w14:paraId="16F462B8">
            <w:pPr>
              <w:widowControl/>
              <w:adjustRightInd w:val="0"/>
              <w:snapToGrid w:val="0"/>
              <w:spacing w:line="440" w:lineRule="exact"/>
              <w:rPr>
                <w:rFonts w:hint="eastAsia" w:ascii="宋体" w:hAnsi="宋体" w:cs="宋体"/>
                <w:bCs/>
                <w14:ligatures w14:val="standardContextual"/>
              </w:rPr>
            </w:pPr>
            <w:r>
              <w:rPr>
                <w:rFonts w:hint="eastAsia" w:ascii="宋体" w:hAnsi="宋体" w:cs="宋体"/>
                <w:bCs/>
                <w14:ligatures w14:val="standardContextual"/>
              </w:rPr>
              <w:t>广东汇天航空航天科技有限公司及下属2家企业</w:t>
            </w:r>
          </w:p>
        </w:tc>
        <w:tc>
          <w:tcPr>
            <w:tcW w:w="1905" w:type="dxa"/>
            <w:vAlign w:val="center"/>
          </w:tcPr>
          <w:p w14:paraId="387BEDA8">
            <w:pPr>
              <w:widowControl/>
              <w:adjustRightInd w:val="0"/>
              <w:snapToGrid w:val="0"/>
              <w:spacing w:line="440" w:lineRule="exact"/>
              <w:rPr>
                <w:rFonts w:hint="eastAsia" w:ascii="宋体" w:hAnsi="宋体" w:cs="宋体"/>
                <w:bCs/>
                <w14:ligatures w14:val="standardContextual"/>
              </w:rPr>
            </w:pPr>
            <w:r>
              <w:rPr>
                <w:rFonts w:hint="eastAsia" w:ascii="宋体" w:hAnsi="宋体" w:cs="宋体"/>
                <w:bCs/>
                <w14:ligatures w14:val="standardContextual"/>
              </w:rPr>
              <w:t>民营企业</w:t>
            </w:r>
          </w:p>
        </w:tc>
        <w:tc>
          <w:tcPr>
            <w:tcW w:w="2241" w:type="dxa"/>
          </w:tcPr>
          <w:p w14:paraId="05592472">
            <w:pPr>
              <w:widowControl/>
              <w:adjustRightInd w:val="0"/>
              <w:snapToGrid w:val="0"/>
              <w:spacing w:line="440" w:lineRule="exact"/>
              <w:jc w:val="left"/>
              <w:rPr>
                <w:rFonts w:hint="eastAsia" w:ascii="宋体" w:hAnsi="宋体" w:cs="宋体"/>
                <w:bCs/>
                <w14:ligatures w14:val="standardContextual"/>
              </w:rPr>
            </w:pPr>
            <w:r>
              <w:rPr>
                <w:rFonts w:hint="eastAsia" w:ascii="宋体" w:hAnsi="宋体" w:cs="宋体"/>
                <w:bCs/>
                <w14:ligatures w14:val="standardContextual"/>
              </w:rPr>
              <w:t>企业所得税汇算清缴</w:t>
            </w:r>
          </w:p>
          <w:p w14:paraId="47D7D7CB">
            <w:pPr>
              <w:widowControl/>
              <w:adjustRightInd w:val="0"/>
              <w:snapToGrid w:val="0"/>
              <w:spacing w:line="440" w:lineRule="exact"/>
              <w:jc w:val="left"/>
              <w:rPr>
                <w:rFonts w:hint="eastAsia" w:ascii="宋体" w:hAnsi="宋体" w:cs="宋体"/>
                <w:bCs/>
                <w14:ligatures w14:val="standardContextual"/>
              </w:rPr>
            </w:pPr>
            <w:r>
              <w:rPr>
                <w:rFonts w:hint="eastAsia" w:ascii="宋体" w:hAnsi="宋体" w:cs="宋体"/>
                <w:bCs/>
                <w14:ligatures w14:val="standardContextual"/>
              </w:rPr>
              <w:t>研发加计扣除专项</w:t>
            </w:r>
          </w:p>
        </w:tc>
      </w:tr>
      <w:tr w14:paraId="5451D00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09" w:type="dxa"/>
            <w:vAlign w:val="center"/>
          </w:tcPr>
          <w:p w14:paraId="13CD2F54">
            <w:pPr>
              <w:pStyle w:val="7"/>
              <w:widowControl/>
              <w:numPr>
                <w:ilvl w:val="0"/>
                <w:numId w:val="7"/>
              </w:numPr>
              <w:adjustRightInd w:val="0"/>
              <w:snapToGrid w:val="0"/>
              <w:spacing w:line="440" w:lineRule="exact"/>
              <w:ind w:firstLineChars="0"/>
              <w:rPr>
                <w:rFonts w:hint="eastAsia" w:ascii="宋体" w:hAnsi="宋体" w:cs="宋体"/>
                <w:bCs/>
                <w14:ligatures w14:val="standardContextual"/>
              </w:rPr>
            </w:pPr>
          </w:p>
        </w:tc>
        <w:tc>
          <w:tcPr>
            <w:tcW w:w="3907" w:type="dxa"/>
            <w:vAlign w:val="center"/>
          </w:tcPr>
          <w:p w14:paraId="419D5E44">
            <w:pPr>
              <w:widowControl/>
              <w:adjustRightInd w:val="0"/>
              <w:snapToGrid w:val="0"/>
              <w:spacing w:line="440" w:lineRule="exact"/>
              <w:rPr>
                <w:rFonts w:hint="eastAsia" w:ascii="宋体" w:hAnsi="宋体" w:cs="宋体"/>
                <w:bCs/>
                <w14:ligatures w14:val="standardContextual"/>
              </w:rPr>
            </w:pPr>
            <w:r>
              <w:rPr>
                <w:rFonts w:hint="eastAsia" w:ascii="宋体" w:hAnsi="宋体" w:cs="宋体"/>
                <w:bCs/>
                <w14:ligatures w14:val="standardContextual"/>
              </w:rPr>
              <w:t>茂名市发展集团有限公司及下属42家子公司</w:t>
            </w:r>
          </w:p>
        </w:tc>
        <w:tc>
          <w:tcPr>
            <w:tcW w:w="1905" w:type="dxa"/>
            <w:vAlign w:val="center"/>
          </w:tcPr>
          <w:p w14:paraId="4D362BBF">
            <w:pPr>
              <w:widowControl/>
              <w:adjustRightInd w:val="0"/>
              <w:snapToGrid w:val="0"/>
              <w:spacing w:line="440" w:lineRule="exact"/>
              <w:rPr>
                <w:rFonts w:hint="eastAsia" w:ascii="宋体" w:hAnsi="宋体" w:cs="宋体"/>
                <w:bCs/>
                <w14:ligatures w14:val="standardContextual"/>
              </w:rPr>
            </w:pPr>
            <w:r>
              <w:rPr>
                <w:rFonts w:hint="eastAsia" w:ascii="宋体" w:hAnsi="宋体" w:cs="宋体"/>
                <w:bCs/>
                <w14:ligatures w14:val="standardContextual"/>
              </w:rPr>
              <w:t>市属国企</w:t>
            </w:r>
          </w:p>
        </w:tc>
        <w:tc>
          <w:tcPr>
            <w:tcW w:w="2241" w:type="dxa"/>
          </w:tcPr>
          <w:p w14:paraId="32391E72">
            <w:pPr>
              <w:widowControl/>
              <w:adjustRightInd w:val="0"/>
              <w:snapToGrid w:val="0"/>
              <w:spacing w:line="440" w:lineRule="exact"/>
              <w:jc w:val="left"/>
              <w:rPr>
                <w:rFonts w:hint="eastAsia" w:ascii="宋体" w:hAnsi="宋体" w:cs="宋体"/>
                <w:bCs/>
                <w14:ligatures w14:val="standardContextual"/>
              </w:rPr>
            </w:pPr>
            <w:r>
              <w:rPr>
                <w:rFonts w:hint="eastAsia" w:ascii="宋体" w:hAnsi="宋体" w:cs="宋体"/>
                <w14:ligatures w14:val="standardContextual"/>
              </w:rPr>
              <w:t>企业所得税汇算清缴</w:t>
            </w:r>
          </w:p>
        </w:tc>
      </w:tr>
      <w:tr w14:paraId="2CF1D2B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09" w:type="dxa"/>
            <w:vAlign w:val="center"/>
          </w:tcPr>
          <w:p w14:paraId="61A5B956">
            <w:pPr>
              <w:pStyle w:val="7"/>
              <w:widowControl/>
              <w:numPr>
                <w:ilvl w:val="0"/>
                <w:numId w:val="7"/>
              </w:numPr>
              <w:adjustRightInd w:val="0"/>
              <w:snapToGrid w:val="0"/>
              <w:spacing w:line="440" w:lineRule="exact"/>
              <w:ind w:firstLineChars="0"/>
              <w:rPr>
                <w:rFonts w:hint="eastAsia" w:ascii="宋体" w:hAnsi="宋体" w:cs="宋体"/>
                <w:bCs/>
                <w14:ligatures w14:val="standardContextual"/>
              </w:rPr>
            </w:pPr>
          </w:p>
        </w:tc>
        <w:tc>
          <w:tcPr>
            <w:tcW w:w="3907" w:type="dxa"/>
            <w:vAlign w:val="center"/>
          </w:tcPr>
          <w:p w14:paraId="2DC40590">
            <w:pPr>
              <w:widowControl/>
              <w:adjustRightInd w:val="0"/>
              <w:snapToGrid w:val="0"/>
              <w:spacing w:line="440" w:lineRule="exact"/>
              <w:rPr>
                <w:rFonts w:hint="eastAsia" w:ascii="宋体" w:hAnsi="宋体" w:cs="宋体"/>
                <w:bCs/>
                <w14:ligatures w14:val="standardContextual"/>
              </w:rPr>
            </w:pPr>
            <w:r>
              <w:rPr>
                <w:rFonts w:hint="eastAsia" w:ascii="宋体" w:hAnsi="宋体" w:cs="宋体"/>
                <w:bCs/>
                <w14:ligatures w14:val="standardContextual"/>
              </w:rPr>
              <w:t>广州花都汽车城发展有限公司及下属14家子公司</w:t>
            </w:r>
          </w:p>
        </w:tc>
        <w:tc>
          <w:tcPr>
            <w:tcW w:w="1905" w:type="dxa"/>
            <w:vAlign w:val="center"/>
          </w:tcPr>
          <w:p w14:paraId="54163FAD">
            <w:pPr>
              <w:widowControl/>
              <w:adjustRightInd w:val="0"/>
              <w:snapToGrid w:val="0"/>
              <w:spacing w:line="440" w:lineRule="exact"/>
              <w:rPr>
                <w:rFonts w:hint="eastAsia" w:ascii="宋体" w:hAnsi="宋体" w:cs="宋体"/>
                <w:bCs/>
                <w14:ligatures w14:val="standardContextual"/>
              </w:rPr>
            </w:pPr>
            <w:r>
              <w:rPr>
                <w:rFonts w:hint="eastAsia" w:ascii="宋体" w:hAnsi="宋体" w:cs="宋体"/>
                <w14:ligatures w14:val="standardContextual"/>
              </w:rPr>
              <w:t>市属国企</w:t>
            </w:r>
          </w:p>
        </w:tc>
        <w:tc>
          <w:tcPr>
            <w:tcW w:w="2241" w:type="dxa"/>
          </w:tcPr>
          <w:p w14:paraId="7495ABEF">
            <w:pPr>
              <w:widowControl/>
              <w:adjustRightInd w:val="0"/>
              <w:snapToGrid w:val="0"/>
              <w:spacing w:line="440" w:lineRule="exact"/>
              <w:jc w:val="left"/>
              <w:rPr>
                <w:rFonts w:hint="eastAsia" w:ascii="宋体" w:hAnsi="宋体" w:cs="宋体"/>
                <w:bCs/>
                <w14:ligatures w14:val="standardContextual"/>
              </w:rPr>
            </w:pPr>
            <w:r>
              <w:rPr>
                <w:rFonts w:hint="eastAsia" w:ascii="宋体" w:hAnsi="宋体" w:cs="宋体"/>
                <w14:ligatures w14:val="standardContextual"/>
              </w:rPr>
              <w:t>企业所得税汇算清缴</w:t>
            </w:r>
          </w:p>
        </w:tc>
      </w:tr>
      <w:tr w14:paraId="7D2E1F1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09" w:type="dxa"/>
            <w:vAlign w:val="center"/>
          </w:tcPr>
          <w:p w14:paraId="542E20C8">
            <w:pPr>
              <w:pStyle w:val="7"/>
              <w:widowControl/>
              <w:numPr>
                <w:ilvl w:val="0"/>
                <w:numId w:val="7"/>
              </w:numPr>
              <w:adjustRightInd w:val="0"/>
              <w:snapToGrid w:val="0"/>
              <w:spacing w:line="440" w:lineRule="exact"/>
              <w:ind w:firstLineChars="0"/>
              <w:rPr>
                <w:rFonts w:hint="eastAsia" w:ascii="宋体" w:hAnsi="宋体" w:cs="宋体"/>
                <w:bCs/>
                <w14:ligatures w14:val="standardContextual"/>
              </w:rPr>
            </w:pPr>
          </w:p>
        </w:tc>
        <w:tc>
          <w:tcPr>
            <w:tcW w:w="3907" w:type="dxa"/>
            <w:vAlign w:val="center"/>
          </w:tcPr>
          <w:p w14:paraId="08AC7220">
            <w:pPr>
              <w:widowControl/>
              <w:adjustRightInd w:val="0"/>
              <w:snapToGrid w:val="0"/>
              <w:spacing w:line="440" w:lineRule="exact"/>
              <w:rPr>
                <w:rFonts w:hint="eastAsia" w:ascii="宋体" w:hAnsi="宋体" w:cs="宋体"/>
                <w:bCs/>
                <w14:ligatures w14:val="standardContextual"/>
              </w:rPr>
            </w:pPr>
            <w:r>
              <w:rPr>
                <w:rFonts w:hint="eastAsia" w:ascii="宋体" w:hAnsi="宋体" w:cs="宋体"/>
                <w:bCs/>
                <w14:ligatures w14:val="standardContextual"/>
              </w:rPr>
              <w:t>广东众源投资有限公司及下属12家子公司</w:t>
            </w:r>
          </w:p>
        </w:tc>
        <w:tc>
          <w:tcPr>
            <w:tcW w:w="1905" w:type="dxa"/>
            <w:vAlign w:val="center"/>
          </w:tcPr>
          <w:p w14:paraId="5AA2E474">
            <w:pPr>
              <w:widowControl/>
              <w:adjustRightInd w:val="0"/>
              <w:snapToGrid w:val="0"/>
              <w:spacing w:line="440" w:lineRule="exact"/>
              <w:rPr>
                <w:rFonts w:hint="eastAsia" w:ascii="宋体" w:hAnsi="宋体" w:cs="宋体"/>
                <w:bCs/>
                <w14:ligatures w14:val="standardContextual"/>
              </w:rPr>
            </w:pPr>
            <w:r>
              <w:rPr>
                <w:rFonts w:hint="eastAsia" w:ascii="宋体" w:hAnsi="宋体" w:cs="宋体"/>
                <w14:ligatures w14:val="standardContextual"/>
              </w:rPr>
              <w:t>市属国企</w:t>
            </w:r>
          </w:p>
        </w:tc>
        <w:tc>
          <w:tcPr>
            <w:tcW w:w="2241" w:type="dxa"/>
          </w:tcPr>
          <w:p w14:paraId="36232423">
            <w:pPr>
              <w:widowControl/>
              <w:adjustRightInd w:val="0"/>
              <w:snapToGrid w:val="0"/>
              <w:spacing w:line="440" w:lineRule="exact"/>
              <w:jc w:val="left"/>
              <w:rPr>
                <w:rFonts w:hint="eastAsia" w:ascii="宋体" w:hAnsi="宋体" w:cs="宋体"/>
                <w:bCs/>
                <w14:ligatures w14:val="standardContextual"/>
              </w:rPr>
            </w:pPr>
            <w:r>
              <w:rPr>
                <w:rFonts w:hint="eastAsia" w:ascii="宋体" w:hAnsi="宋体" w:cs="宋体"/>
                <w14:ligatures w14:val="standardContextual"/>
              </w:rPr>
              <w:t>企业所得税汇算清缴</w:t>
            </w:r>
          </w:p>
        </w:tc>
      </w:tr>
      <w:tr w14:paraId="0D4F7B9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09" w:type="dxa"/>
            <w:vAlign w:val="center"/>
          </w:tcPr>
          <w:p w14:paraId="6D6AAC89">
            <w:pPr>
              <w:pStyle w:val="7"/>
              <w:widowControl/>
              <w:numPr>
                <w:ilvl w:val="0"/>
                <w:numId w:val="7"/>
              </w:numPr>
              <w:adjustRightInd w:val="0"/>
              <w:snapToGrid w:val="0"/>
              <w:spacing w:line="440" w:lineRule="exact"/>
              <w:ind w:firstLineChars="0"/>
              <w:rPr>
                <w:rFonts w:hint="eastAsia" w:ascii="宋体" w:hAnsi="宋体" w:cs="宋体"/>
                <w:bCs/>
                <w14:ligatures w14:val="standardContextual"/>
              </w:rPr>
            </w:pPr>
          </w:p>
        </w:tc>
        <w:tc>
          <w:tcPr>
            <w:tcW w:w="3907" w:type="dxa"/>
            <w:vAlign w:val="center"/>
          </w:tcPr>
          <w:p w14:paraId="3069EA33">
            <w:pPr>
              <w:widowControl/>
              <w:adjustRightInd w:val="0"/>
              <w:snapToGrid w:val="0"/>
              <w:spacing w:line="440" w:lineRule="exact"/>
              <w:rPr>
                <w:rFonts w:hint="eastAsia" w:ascii="宋体" w:hAnsi="宋体" w:cs="宋体"/>
                <w:bCs/>
                <w14:ligatures w14:val="standardContextual"/>
              </w:rPr>
            </w:pPr>
            <w:r>
              <w:rPr>
                <w:rFonts w:hint="eastAsia" w:ascii="宋体" w:hAnsi="宋体" w:cs="宋体"/>
                <w:bCs/>
                <w14:ligatures w14:val="standardContextual"/>
              </w:rPr>
              <w:t>广州南沙公共资源控股集团有限公司及下属9家子公司</w:t>
            </w:r>
          </w:p>
        </w:tc>
        <w:tc>
          <w:tcPr>
            <w:tcW w:w="1905" w:type="dxa"/>
            <w:vAlign w:val="center"/>
          </w:tcPr>
          <w:p w14:paraId="6A4A65B1">
            <w:pPr>
              <w:widowControl/>
              <w:adjustRightInd w:val="0"/>
              <w:snapToGrid w:val="0"/>
              <w:spacing w:line="440" w:lineRule="exact"/>
              <w:rPr>
                <w:rFonts w:hint="eastAsia" w:ascii="宋体" w:hAnsi="宋体" w:cs="宋体"/>
                <w:bCs/>
                <w14:ligatures w14:val="standardContextual"/>
              </w:rPr>
            </w:pPr>
            <w:r>
              <w:rPr>
                <w:rFonts w:hint="eastAsia" w:ascii="宋体" w:hAnsi="宋体" w:cs="宋体"/>
                <w14:ligatures w14:val="standardContextual"/>
              </w:rPr>
              <w:t>市属国企</w:t>
            </w:r>
          </w:p>
        </w:tc>
        <w:tc>
          <w:tcPr>
            <w:tcW w:w="2241" w:type="dxa"/>
          </w:tcPr>
          <w:p w14:paraId="432C15DC">
            <w:pPr>
              <w:widowControl/>
              <w:adjustRightInd w:val="0"/>
              <w:snapToGrid w:val="0"/>
              <w:spacing w:line="440" w:lineRule="exact"/>
              <w:jc w:val="left"/>
              <w:rPr>
                <w:rFonts w:hint="eastAsia" w:ascii="宋体" w:hAnsi="宋体" w:cs="宋体"/>
                <w:bCs/>
                <w14:ligatures w14:val="standardContextual"/>
              </w:rPr>
            </w:pPr>
            <w:r>
              <w:rPr>
                <w:rFonts w:hint="eastAsia" w:ascii="宋体" w:hAnsi="宋体" w:cs="宋体"/>
                <w14:ligatures w14:val="standardContextual"/>
              </w:rPr>
              <w:t>企业所得税汇算清缴</w:t>
            </w:r>
          </w:p>
        </w:tc>
      </w:tr>
      <w:tr w14:paraId="6ADD3E7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09" w:type="dxa"/>
            <w:vAlign w:val="center"/>
          </w:tcPr>
          <w:p w14:paraId="3D45A540">
            <w:pPr>
              <w:pStyle w:val="7"/>
              <w:widowControl/>
              <w:numPr>
                <w:ilvl w:val="0"/>
                <w:numId w:val="7"/>
              </w:numPr>
              <w:adjustRightInd w:val="0"/>
              <w:snapToGrid w:val="0"/>
              <w:spacing w:line="440" w:lineRule="exact"/>
              <w:ind w:firstLineChars="0"/>
              <w:rPr>
                <w:rFonts w:hint="eastAsia" w:ascii="宋体" w:hAnsi="宋体" w:cs="宋体"/>
                <w:bCs/>
                <w14:ligatures w14:val="standardContextual"/>
              </w:rPr>
            </w:pPr>
          </w:p>
        </w:tc>
        <w:tc>
          <w:tcPr>
            <w:tcW w:w="3907" w:type="dxa"/>
            <w:vAlign w:val="center"/>
          </w:tcPr>
          <w:p w14:paraId="33E16E14">
            <w:pPr>
              <w:widowControl/>
              <w:adjustRightInd w:val="0"/>
              <w:snapToGrid w:val="0"/>
              <w:spacing w:line="440" w:lineRule="exact"/>
              <w:rPr>
                <w:rFonts w:hint="eastAsia" w:ascii="宋体" w:hAnsi="宋体" w:cs="宋体"/>
                <w:bCs/>
                <w14:ligatures w14:val="standardContextual"/>
              </w:rPr>
            </w:pPr>
            <w:r>
              <w:rPr>
                <w:rFonts w:hint="eastAsia" w:ascii="宋体" w:hAnsi="宋体" w:cs="宋体"/>
                <w:bCs/>
                <w14:ligatures w14:val="standardContextual"/>
              </w:rPr>
              <w:t>广州市番禺信息技术投资发展有限公司及下属12家子公司</w:t>
            </w:r>
          </w:p>
        </w:tc>
        <w:tc>
          <w:tcPr>
            <w:tcW w:w="1905" w:type="dxa"/>
            <w:vAlign w:val="center"/>
          </w:tcPr>
          <w:p w14:paraId="6A48C955">
            <w:pPr>
              <w:widowControl/>
              <w:adjustRightInd w:val="0"/>
              <w:snapToGrid w:val="0"/>
              <w:spacing w:line="440" w:lineRule="exact"/>
              <w:rPr>
                <w:rFonts w:hint="eastAsia" w:ascii="宋体" w:hAnsi="宋体" w:cs="宋体"/>
                <w:bCs/>
                <w14:ligatures w14:val="standardContextual"/>
              </w:rPr>
            </w:pPr>
            <w:r>
              <w:rPr>
                <w:rFonts w:hint="eastAsia" w:ascii="宋体" w:hAnsi="宋体" w:cs="宋体"/>
                <w14:ligatures w14:val="standardContextual"/>
              </w:rPr>
              <w:t>市属国企</w:t>
            </w:r>
          </w:p>
        </w:tc>
        <w:tc>
          <w:tcPr>
            <w:tcW w:w="2241" w:type="dxa"/>
          </w:tcPr>
          <w:p w14:paraId="0560BA71">
            <w:pPr>
              <w:widowControl/>
              <w:adjustRightInd w:val="0"/>
              <w:snapToGrid w:val="0"/>
              <w:spacing w:line="440" w:lineRule="exact"/>
              <w:jc w:val="left"/>
              <w:rPr>
                <w:rFonts w:hint="eastAsia" w:ascii="宋体" w:hAnsi="宋体" w:cs="宋体"/>
                <w:bCs/>
                <w14:ligatures w14:val="standardContextual"/>
              </w:rPr>
            </w:pPr>
            <w:r>
              <w:rPr>
                <w:rFonts w:hint="eastAsia" w:ascii="宋体" w:hAnsi="宋体" w:cs="宋体"/>
                <w14:ligatures w14:val="standardContextual"/>
              </w:rPr>
              <w:t>企业所得税汇算清缴</w:t>
            </w:r>
          </w:p>
        </w:tc>
      </w:tr>
      <w:tr w14:paraId="59E7CCB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09" w:type="dxa"/>
            <w:vAlign w:val="center"/>
          </w:tcPr>
          <w:p w14:paraId="44B33F84">
            <w:pPr>
              <w:pStyle w:val="7"/>
              <w:widowControl/>
              <w:numPr>
                <w:ilvl w:val="0"/>
                <w:numId w:val="7"/>
              </w:numPr>
              <w:adjustRightInd w:val="0"/>
              <w:snapToGrid w:val="0"/>
              <w:spacing w:line="440" w:lineRule="exact"/>
              <w:ind w:firstLineChars="0"/>
              <w:rPr>
                <w:rFonts w:hint="eastAsia" w:ascii="宋体" w:hAnsi="宋体" w:cs="宋体"/>
                <w:bCs/>
                <w14:ligatures w14:val="standardContextual"/>
              </w:rPr>
            </w:pPr>
          </w:p>
        </w:tc>
        <w:tc>
          <w:tcPr>
            <w:tcW w:w="3907" w:type="dxa"/>
            <w:vAlign w:val="center"/>
          </w:tcPr>
          <w:p w14:paraId="2B987968">
            <w:pPr>
              <w:widowControl/>
              <w:adjustRightInd w:val="0"/>
              <w:snapToGrid w:val="0"/>
              <w:spacing w:line="440" w:lineRule="exact"/>
              <w:rPr>
                <w:rFonts w:hint="eastAsia" w:ascii="宋体" w:hAnsi="宋体" w:cs="宋体"/>
                <w:bCs/>
                <w14:ligatures w14:val="standardContextual"/>
              </w:rPr>
            </w:pPr>
            <w:r>
              <w:rPr>
                <w:rFonts w:hint="eastAsia" w:ascii="宋体" w:hAnsi="宋体" w:cs="宋体"/>
                <w:bCs/>
                <w14:ligatures w14:val="standardContextual"/>
              </w:rPr>
              <w:t>广州白云山医药集团股份有限公司下属子公司</w:t>
            </w:r>
          </w:p>
        </w:tc>
        <w:tc>
          <w:tcPr>
            <w:tcW w:w="1905" w:type="dxa"/>
            <w:vAlign w:val="center"/>
          </w:tcPr>
          <w:p w14:paraId="13764514">
            <w:pPr>
              <w:widowControl/>
              <w:adjustRightInd w:val="0"/>
              <w:snapToGrid w:val="0"/>
              <w:spacing w:line="440" w:lineRule="exact"/>
              <w:rPr>
                <w:rFonts w:hint="eastAsia" w:ascii="宋体" w:hAnsi="宋体" w:cs="宋体"/>
                <w:bCs/>
                <w14:ligatures w14:val="standardContextual"/>
              </w:rPr>
            </w:pPr>
            <w:r>
              <w:rPr>
                <w:rFonts w:hint="eastAsia" w:ascii="宋体" w:hAnsi="宋体" w:cs="宋体"/>
                <w14:ligatures w14:val="standardContextual"/>
              </w:rPr>
              <w:t>市属国企</w:t>
            </w:r>
          </w:p>
        </w:tc>
        <w:tc>
          <w:tcPr>
            <w:tcW w:w="2241" w:type="dxa"/>
          </w:tcPr>
          <w:p w14:paraId="3B44CFE1">
            <w:pPr>
              <w:widowControl/>
              <w:adjustRightInd w:val="0"/>
              <w:snapToGrid w:val="0"/>
              <w:spacing w:line="440" w:lineRule="exact"/>
              <w:jc w:val="left"/>
              <w:rPr>
                <w:rFonts w:hint="eastAsia" w:ascii="宋体" w:hAnsi="宋体" w:cs="宋体"/>
                <w:bCs/>
                <w14:ligatures w14:val="standardContextual"/>
              </w:rPr>
            </w:pPr>
            <w:r>
              <w:rPr>
                <w:rFonts w:hint="eastAsia" w:ascii="宋体" w:hAnsi="宋体" w:cs="宋体"/>
                <w:bCs/>
                <w14:ligatures w14:val="standardContextual"/>
              </w:rPr>
              <w:t>IPO税务尽调</w:t>
            </w:r>
          </w:p>
        </w:tc>
      </w:tr>
      <w:tr w14:paraId="516C1ED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09" w:type="dxa"/>
            <w:vAlign w:val="center"/>
          </w:tcPr>
          <w:p w14:paraId="2CA68558">
            <w:pPr>
              <w:pStyle w:val="7"/>
              <w:widowControl/>
              <w:numPr>
                <w:ilvl w:val="0"/>
                <w:numId w:val="7"/>
              </w:numPr>
              <w:adjustRightInd w:val="0"/>
              <w:snapToGrid w:val="0"/>
              <w:spacing w:line="440" w:lineRule="exact"/>
              <w:ind w:firstLineChars="0"/>
              <w:rPr>
                <w:rFonts w:hint="eastAsia" w:ascii="宋体" w:hAnsi="宋体" w:cs="宋体"/>
                <w:bCs/>
                <w14:ligatures w14:val="standardContextual"/>
              </w:rPr>
            </w:pPr>
          </w:p>
        </w:tc>
        <w:tc>
          <w:tcPr>
            <w:tcW w:w="3907" w:type="dxa"/>
            <w:vAlign w:val="center"/>
          </w:tcPr>
          <w:p w14:paraId="0B563F2A">
            <w:pPr>
              <w:widowControl/>
              <w:adjustRightInd w:val="0"/>
              <w:snapToGrid w:val="0"/>
              <w:spacing w:line="440" w:lineRule="exact"/>
              <w:rPr>
                <w:rFonts w:hint="eastAsia" w:ascii="宋体" w:hAnsi="宋体" w:cs="宋体"/>
                <w:bCs/>
                <w14:ligatures w14:val="standardContextual"/>
              </w:rPr>
            </w:pPr>
            <w:r>
              <w:rPr>
                <w:rFonts w:hint="eastAsia" w:ascii="宋体" w:hAnsi="宋体" w:cs="宋体"/>
                <w:bCs/>
                <w14:ligatures w14:val="standardContextual"/>
              </w:rPr>
              <w:t>广州医药集团有限公司</w:t>
            </w:r>
          </w:p>
        </w:tc>
        <w:tc>
          <w:tcPr>
            <w:tcW w:w="1905" w:type="dxa"/>
            <w:vAlign w:val="center"/>
          </w:tcPr>
          <w:p w14:paraId="06C1D899">
            <w:pPr>
              <w:widowControl/>
              <w:adjustRightInd w:val="0"/>
              <w:snapToGrid w:val="0"/>
              <w:spacing w:line="440" w:lineRule="exact"/>
              <w:rPr>
                <w:rFonts w:hint="eastAsia" w:ascii="宋体" w:hAnsi="宋体" w:cs="宋体"/>
                <w:bCs/>
                <w14:ligatures w14:val="standardContextual"/>
              </w:rPr>
            </w:pPr>
            <w:r>
              <w:rPr>
                <w:rFonts w:hint="eastAsia" w:ascii="宋体" w:hAnsi="宋体" w:cs="宋体"/>
                <w:bCs/>
                <w14:ligatures w14:val="standardContextual"/>
              </w:rPr>
              <w:t>市属国企</w:t>
            </w:r>
          </w:p>
        </w:tc>
        <w:tc>
          <w:tcPr>
            <w:tcW w:w="2241" w:type="dxa"/>
          </w:tcPr>
          <w:p w14:paraId="559F0ABF">
            <w:pPr>
              <w:widowControl/>
              <w:adjustRightInd w:val="0"/>
              <w:snapToGrid w:val="0"/>
              <w:spacing w:line="440" w:lineRule="exact"/>
              <w:jc w:val="left"/>
              <w:rPr>
                <w:rFonts w:hint="eastAsia" w:ascii="宋体" w:hAnsi="宋体" w:cs="宋体"/>
                <w:bCs/>
                <w14:ligatures w14:val="standardContextual"/>
              </w:rPr>
            </w:pPr>
            <w:r>
              <w:rPr>
                <w:rFonts w:hint="eastAsia" w:ascii="宋体" w:hAnsi="宋体" w:cs="宋体"/>
                <w:bCs/>
                <w14:ligatures w14:val="standardContextual"/>
              </w:rPr>
              <w:t>企业收并购税务尽调</w:t>
            </w:r>
          </w:p>
        </w:tc>
      </w:tr>
      <w:tr w14:paraId="71084D3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09" w:type="dxa"/>
            <w:vAlign w:val="center"/>
          </w:tcPr>
          <w:p w14:paraId="3BE74B89">
            <w:pPr>
              <w:pStyle w:val="7"/>
              <w:widowControl/>
              <w:numPr>
                <w:ilvl w:val="0"/>
                <w:numId w:val="7"/>
              </w:numPr>
              <w:adjustRightInd w:val="0"/>
              <w:snapToGrid w:val="0"/>
              <w:spacing w:line="440" w:lineRule="exact"/>
              <w:ind w:firstLineChars="0"/>
              <w:rPr>
                <w:rFonts w:hint="eastAsia" w:ascii="宋体" w:hAnsi="宋体" w:cs="宋体"/>
                <w:bCs/>
                <w14:ligatures w14:val="standardContextual"/>
              </w:rPr>
            </w:pPr>
          </w:p>
        </w:tc>
        <w:tc>
          <w:tcPr>
            <w:tcW w:w="3907" w:type="dxa"/>
            <w:vAlign w:val="center"/>
          </w:tcPr>
          <w:p w14:paraId="33499A2A">
            <w:pPr>
              <w:widowControl/>
              <w:adjustRightInd w:val="0"/>
              <w:snapToGrid w:val="0"/>
              <w:spacing w:line="440" w:lineRule="exact"/>
              <w:rPr>
                <w:rFonts w:hint="eastAsia" w:ascii="宋体" w:hAnsi="宋体" w:cs="宋体"/>
                <w:bCs/>
                <w14:ligatures w14:val="standardContextual"/>
              </w:rPr>
            </w:pPr>
            <w:r>
              <w:rPr>
                <w:rFonts w:hint="eastAsia" w:ascii="宋体" w:hAnsi="宋体" w:cs="宋体"/>
                <w:bCs/>
                <w14:ligatures w14:val="standardContextual"/>
              </w:rPr>
              <w:t>广东省广新控股集团有限公司</w:t>
            </w:r>
          </w:p>
        </w:tc>
        <w:tc>
          <w:tcPr>
            <w:tcW w:w="1905" w:type="dxa"/>
            <w:vAlign w:val="center"/>
          </w:tcPr>
          <w:p w14:paraId="29AC1D78">
            <w:pPr>
              <w:widowControl/>
              <w:adjustRightInd w:val="0"/>
              <w:snapToGrid w:val="0"/>
              <w:spacing w:line="440" w:lineRule="exact"/>
              <w:rPr>
                <w:rFonts w:hint="eastAsia" w:ascii="宋体" w:hAnsi="宋体" w:cs="宋体"/>
                <w:bCs/>
                <w14:ligatures w14:val="standardContextual"/>
              </w:rPr>
            </w:pPr>
            <w:r>
              <w:rPr>
                <w:rFonts w:hint="eastAsia" w:ascii="宋体" w:hAnsi="宋体" w:cs="宋体"/>
                <w:bCs/>
                <w14:ligatures w14:val="standardContextual"/>
              </w:rPr>
              <w:t>省属国企</w:t>
            </w:r>
          </w:p>
        </w:tc>
        <w:tc>
          <w:tcPr>
            <w:tcW w:w="2241" w:type="dxa"/>
          </w:tcPr>
          <w:p w14:paraId="4AF340C3">
            <w:pPr>
              <w:widowControl/>
              <w:adjustRightInd w:val="0"/>
              <w:snapToGrid w:val="0"/>
              <w:spacing w:line="440" w:lineRule="exact"/>
              <w:jc w:val="left"/>
              <w:rPr>
                <w:rFonts w:hint="eastAsia" w:ascii="宋体" w:hAnsi="宋体" w:cs="宋体"/>
                <w:bCs/>
                <w14:ligatures w14:val="standardContextual"/>
              </w:rPr>
            </w:pPr>
            <w:r>
              <w:rPr>
                <w:rFonts w:hint="eastAsia" w:ascii="宋体" w:hAnsi="宋体" w:cs="宋体"/>
                <w:bCs/>
                <w14:ligatures w14:val="standardContextual"/>
              </w:rPr>
              <w:t>企业收并购税务尽调</w:t>
            </w:r>
          </w:p>
        </w:tc>
      </w:tr>
      <w:tr w14:paraId="5D2F841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09" w:type="dxa"/>
            <w:vAlign w:val="center"/>
          </w:tcPr>
          <w:p w14:paraId="6686D852">
            <w:pPr>
              <w:pStyle w:val="7"/>
              <w:widowControl/>
              <w:numPr>
                <w:ilvl w:val="0"/>
                <w:numId w:val="7"/>
              </w:numPr>
              <w:adjustRightInd w:val="0"/>
              <w:snapToGrid w:val="0"/>
              <w:spacing w:line="440" w:lineRule="exact"/>
              <w:ind w:firstLineChars="0"/>
              <w:rPr>
                <w:rFonts w:hint="eastAsia" w:ascii="宋体" w:hAnsi="宋体" w:cs="宋体"/>
                <w:bCs/>
                <w14:ligatures w14:val="standardContextual"/>
              </w:rPr>
            </w:pPr>
          </w:p>
        </w:tc>
        <w:tc>
          <w:tcPr>
            <w:tcW w:w="3907" w:type="dxa"/>
            <w:vAlign w:val="center"/>
          </w:tcPr>
          <w:p w14:paraId="5E25BB8C">
            <w:pPr>
              <w:widowControl/>
              <w:adjustRightInd w:val="0"/>
              <w:snapToGrid w:val="0"/>
              <w:spacing w:line="440" w:lineRule="exact"/>
              <w:rPr>
                <w:rFonts w:hint="eastAsia" w:ascii="宋体" w:hAnsi="宋体" w:cs="宋体"/>
                <w:bCs/>
                <w14:ligatures w14:val="standardContextual"/>
              </w:rPr>
            </w:pPr>
            <w:r>
              <w:rPr>
                <w:rFonts w:hint="eastAsia" w:ascii="宋体" w:hAnsi="宋体" w:cs="宋体"/>
                <w:bCs/>
                <w14:ligatures w14:val="standardContextual"/>
              </w:rPr>
              <w:t>广州广日股份有限公司（600894）</w:t>
            </w:r>
          </w:p>
        </w:tc>
        <w:tc>
          <w:tcPr>
            <w:tcW w:w="1905" w:type="dxa"/>
            <w:vAlign w:val="center"/>
          </w:tcPr>
          <w:p w14:paraId="6898CA11">
            <w:pPr>
              <w:widowControl/>
              <w:adjustRightInd w:val="0"/>
              <w:snapToGrid w:val="0"/>
              <w:spacing w:line="440" w:lineRule="exact"/>
              <w:rPr>
                <w:rFonts w:hint="eastAsia" w:ascii="宋体" w:hAnsi="宋体" w:cs="宋体"/>
                <w:bCs/>
                <w14:ligatures w14:val="standardContextual"/>
              </w:rPr>
            </w:pPr>
            <w:r>
              <w:rPr>
                <w:rFonts w:hint="eastAsia" w:ascii="宋体" w:hAnsi="宋体" w:cs="宋体"/>
                <w:bCs/>
                <w14:ligatures w14:val="standardContextual"/>
              </w:rPr>
              <w:t>市属国企/上市公司</w:t>
            </w:r>
          </w:p>
        </w:tc>
        <w:tc>
          <w:tcPr>
            <w:tcW w:w="2241" w:type="dxa"/>
          </w:tcPr>
          <w:p w14:paraId="488CD0B5">
            <w:pPr>
              <w:widowControl/>
              <w:adjustRightInd w:val="0"/>
              <w:snapToGrid w:val="0"/>
              <w:spacing w:line="440" w:lineRule="exact"/>
              <w:jc w:val="left"/>
              <w:rPr>
                <w:rFonts w:hint="eastAsia" w:ascii="宋体" w:hAnsi="宋体" w:cs="宋体"/>
                <w:bCs/>
                <w14:ligatures w14:val="standardContextual"/>
              </w:rPr>
            </w:pPr>
            <w:r>
              <w:rPr>
                <w:rFonts w:hint="eastAsia" w:ascii="宋体" w:hAnsi="宋体" w:cs="宋体"/>
                <w:bCs/>
                <w14:ligatures w14:val="standardContextual"/>
              </w:rPr>
              <w:t>企业收并购税务尽调</w:t>
            </w:r>
          </w:p>
        </w:tc>
      </w:tr>
      <w:tr w14:paraId="26C1294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09" w:type="dxa"/>
            <w:vAlign w:val="center"/>
          </w:tcPr>
          <w:p w14:paraId="02EC8756">
            <w:pPr>
              <w:pStyle w:val="7"/>
              <w:widowControl/>
              <w:numPr>
                <w:ilvl w:val="0"/>
                <w:numId w:val="7"/>
              </w:numPr>
              <w:adjustRightInd w:val="0"/>
              <w:snapToGrid w:val="0"/>
              <w:spacing w:line="440" w:lineRule="exact"/>
              <w:ind w:firstLineChars="0"/>
              <w:rPr>
                <w:rFonts w:hint="eastAsia" w:ascii="宋体" w:hAnsi="宋体" w:cs="宋体"/>
                <w:bCs/>
                <w14:ligatures w14:val="standardContextual"/>
              </w:rPr>
            </w:pPr>
            <w:bookmarkStart w:id="143" w:name="_Ref6137"/>
            <w:bookmarkEnd w:id="143"/>
          </w:p>
        </w:tc>
        <w:tc>
          <w:tcPr>
            <w:tcW w:w="3907" w:type="dxa"/>
            <w:vAlign w:val="center"/>
          </w:tcPr>
          <w:p w14:paraId="47109B33">
            <w:pPr>
              <w:widowControl/>
              <w:adjustRightInd w:val="0"/>
              <w:snapToGrid w:val="0"/>
              <w:spacing w:line="440" w:lineRule="exact"/>
              <w:rPr>
                <w:rFonts w:hint="eastAsia" w:ascii="宋体" w:hAnsi="宋体" w:cs="宋体"/>
                <w:bCs/>
                <w14:ligatures w14:val="standardContextual"/>
              </w:rPr>
            </w:pPr>
            <w:r>
              <w:rPr>
                <w:rFonts w:hint="eastAsia" w:ascii="宋体" w:hAnsi="宋体" w:cs="宋体"/>
                <w:bCs/>
                <w14:ligatures w14:val="standardContextual"/>
              </w:rPr>
              <w:t>广州锐速智能科技股份有限公司（839697）</w:t>
            </w:r>
          </w:p>
        </w:tc>
        <w:tc>
          <w:tcPr>
            <w:tcW w:w="1905" w:type="dxa"/>
            <w:vAlign w:val="center"/>
          </w:tcPr>
          <w:p w14:paraId="631ECCC4">
            <w:pPr>
              <w:widowControl/>
              <w:adjustRightInd w:val="0"/>
              <w:snapToGrid w:val="0"/>
              <w:spacing w:line="440" w:lineRule="exact"/>
              <w:rPr>
                <w:rFonts w:hint="eastAsia" w:ascii="宋体" w:hAnsi="宋体" w:cs="宋体"/>
                <w:bCs/>
                <w14:ligatures w14:val="standardContextual"/>
              </w:rPr>
            </w:pPr>
            <w:r>
              <w:rPr>
                <w:rFonts w:hint="eastAsia" w:ascii="宋体" w:hAnsi="宋体" w:cs="宋体"/>
                <w:bCs/>
                <w14:ligatures w14:val="standardContextual"/>
              </w:rPr>
              <w:t>民营企业/新三板公司</w:t>
            </w:r>
          </w:p>
        </w:tc>
        <w:tc>
          <w:tcPr>
            <w:tcW w:w="2241" w:type="dxa"/>
          </w:tcPr>
          <w:p w14:paraId="2FA278DC">
            <w:pPr>
              <w:widowControl/>
              <w:adjustRightInd w:val="0"/>
              <w:snapToGrid w:val="0"/>
              <w:spacing w:line="440" w:lineRule="exact"/>
              <w:jc w:val="left"/>
              <w:rPr>
                <w:rFonts w:hint="eastAsia" w:ascii="宋体" w:hAnsi="宋体" w:cs="宋体"/>
                <w:bCs/>
                <w14:ligatures w14:val="standardContextual"/>
              </w:rPr>
            </w:pPr>
            <w:r>
              <w:rPr>
                <w:rFonts w:hint="eastAsia" w:ascii="宋体" w:hAnsi="宋体" w:cs="宋体"/>
                <w:bCs/>
                <w14:ligatures w14:val="standardContextual"/>
              </w:rPr>
              <w:t>税务代理服务</w:t>
            </w:r>
          </w:p>
          <w:p w14:paraId="07035ADB">
            <w:pPr>
              <w:widowControl/>
              <w:adjustRightInd w:val="0"/>
              <w:snapToGrid w:val="0"/>
              <w:spacing w:line="440" w:lineRule="exact"/>
              <w:jc w:val="left"/>
              <w:rPr>
                <w:rFonts w:hint="eastAsia" w:ascii="宋体" w:hAnsi="宋体" w:cs="宋体"/>
                <w:bCs/>
                <w14:ligatures w14:val="standardContextual"/>
              </w:rPr>
            </w:pPr>
            <w:r>
              <w:rPr>
                <w:rFonts w:hint="eastAsia" w:ascii="宋体" w:hAnsi="宋体" w:cs="宋体"/>
                <w14:ligatures w14:val="standardContextual"/>
              </w:rPr>
              <w:t>企业所得税汇算清缴</w:t>
            </w:r>
          </w:p>
        </w:tc>
      </w:tr>
      <w:tr w14:paraId="7483B17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762" w:type="dxa"/>
            <w:gridSpan w:val="4"/>
            <w:vAlign w:val="center"/>
          </w:tcPr>
          <w:p w14:paraId="63454C0E">
            <w:pPr>
              <w:widowControl/>
              <w:adjustRightInd w:val="0"/>
              <w:snapToGrid w:val="0"/>
              <w:spacing w:line="440" w:lineRule="exact"/>
              <w:jc w:val="center"/>
              <w:rPr>
                <w:rFonts w:hint="eastAsia" w:ascii="宋体" w:hAnsi="宋体" w:cs="宋体"/>
                <w14:ligatures w14:val="standardContextual"/>
              </w:rPr>
            </w:pPr>
            <w:bookmarkStart w:id="144" w:name="_Ref32542"/>
            <w:bookmarkEnd w:id="144"/>
            <w:r>
              <w:rPr>
                <w:rFonts w:hint="eastAsia" w:ascii="宋体" w:hAnsi="宋体" w:cs="宋体"/>
                <w14:ligatures w14:val="standardContextual"/>
              </w:rPr>
              <w:t>......</w:t>
            </w:r>
          </w:p>
        </w:tc>
      </w:tr>
    </w:tbl>
    <w:p w14:paraId="09DC6F50">
      <w:pPr>
        <w:widowControl/>
        <w:jc w:val="left"/>
        <w:rPr>
          <w:rFonts w:hint="eastAsia"/>
        </w:rPr>
      </w:pPr>
    </w:p>
    <w:p w14:paraId="144D52EC"/>
    <w:sectPr>
      <w:headerReference r:id="rId3" w:type="default"/>
      <w:footerReference r:id="rId4" w:type="default"/>
      <w:pgSz w:w="11906" w:h="16838"/>
      <w:pgMar w:top="1440" w:right="1800" w:bottom="1440" w:left="1800" w:header="851" w:footer="992" w:gutter="0"/>
      <w:pgNumType w:fmt="decimal" w:start="1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34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04B0D4D">
    <w:pPr>
      <w:pStyle w:val="2"/>
    </w:pPr>
    <w:r>
      <w:rPr>
        <w:sz w:val="18"/>
      </w:rPr>
      <mc:AlternateContent>
        <mc:Choice Requires="wps">
          <w:drawing>
            <wp:anchor distT="0" distB="0" distL="114300" distR="114300" simplePos="0" relativeHeight="251660288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chemeClr val="lt1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6350">
                            <a:solidFill>
                              <a:prstClr val="black"/>
                            </a:solidFill>
                          </a14:hiddenLine>
                        </a:ext>
                      </a:extLst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444A894A">
                          <w:pPr>
                            <w:pStyle w:val="2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60288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Ei29ifcAgAAJAYAAA4AAABkcnMvZTJvRG9jLnhtbK1UzW7UMBC+I/EO&#10;lu9pkm26zUbNVttNg5AqWqkgzl7H2Vg4tmV7fwriCm/AiQt3nqvPwTjZ7LYFoUqwh+zYM56Z75uf&#10;s/NtK9CaGcuVzHF8FGHEJFUVl8scv3tbBilG1hFZEaEky/Eds/h8+vLF2UZnbKQaJSpmEDiRNtvo&#10;HDfO6SwMLW1YS+yR0kyCslamJQ6OZhlWhmzAeyvCURSNw40ylTaKMmvhtuiVeOfRPMehqmtOWaHo&#10;qmXS9V4NE8QBJNtwbfG0y7auGXXXdW2ZQyLHgNR1XwgC8sJ/w+kZyZaG6IbTXQrkOSk8wdQSLiHo&#10;3lVBHEErw39z1XJqlFW1O6KqDXsgHSOAIo6ecHPbEM06LEC11XvS7f9zS9+sbwziFXQCRpK0UPD7&#10;b1/vv/+8//EFxZ6ejbYZWN1qsHPbC7X1prt7C5ce9bY2rf8HPAj0QO7dnly2dYj6R+koTSNQUdAN&#10;B/ATHp5rY90rplrkhRwbqF5HKllfWdebDiY+mlQlFwLuSSYk2uR4fHwSdQ/2GnAupDeALMDHTuor&#10;82kSTS7TyzQJktH4Mkiioghm5TwJxmV8elIcF/N5EX/2/uIka3hVMenjDV0SJ8+rwq5T+vru+8Qq&#10;wSvvzqdkzXIxFwatCXRp2f08w5D8A7PwcRqdGlA9gRSPkuhiNAnKcXoaJGVyEkxOozSI4snFZBwl&#10;k6QoH0O64pL9O6RH7D9ImmS+YHtsC0Hoh79C8+kcoAEDQ+FC34d9v3nJbRdboMiLC1XdQW8a1Q+3&#10;1bTkEPSKWHdDDEwz9BzsO3cNn1oo6BO1kzBqlPn4p3tvD+UFLUYb2A45lrAMMRKvJQwfOHSDYAZh&#10;MQhy1c4VFBIGCnLpRHhgnBjE2qj2PSzBmY8BKiIpRMqxG8S56zcULFHKZrPOaKUNXzb9A1gdmrgr&#10;eaupD9O1kJ6tHMxDNyYHVoBKf4Dl0ZG6W3R+Oz08d1aH5T79BV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EUFAABbQ29udGVudF9UeXBlc10ueG1s&#10;UEsBAhQACgAAAAAAh07iQAAAAAAAAAAAAAAAAAYAAAAAAAAAAAAQAAAAJwQAAF9yZWxzL1BLAQIU&#10;ABQAAAAIAIdO4kCKFGY80QAAAJQBAAALAAAAAAAAAAEAIAAAAEsEAABfcmVscy8ucmVsc1BLAQIU&#10;AAoAAAAAAIdO4kAAAAAAAAAAAAAAAAAEAAAAAAAAAAAAEAAAAAAAAABkcnMvUEsBAhQAFAAAAAgA&#10;h07iQLNJWO7QAAAABQEAAA8AAAAAAAAAAQAgAAAAIgAAAGRycy9kb3ducmV2LnhtbFBLAQIUABQA&#10;AAAIAIdO4kBItvYn3AIAACQGAAAOAAAAAAAAAAEAIAAAAB8BAABkcnMvZTJvRG9jLnhtbFBLBQYA&#10;AAAABgAGAFkBAABtBg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444A894A">
                    <w:pPr>
                      <w:pStyle w:val="2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0DAE277">
    <w:pPr>
      <w:pStyle w:val="3"/>
      <w:pBdr>
        <w:bottom w:val="single" w:color="FFCC00" w:sz="4" w:space="0"/>
      </w:pBdr>
      <w:ind w:firstLine="1620" w:firstLineChars="900"/>
      <w:jc w:val="left"/>
    </w:pPr>
    <w:r>
      <w:drawing>
        <wp:anchor distT="0" distB="0" distL="114300" distR="114300" simplePos="0" relativeHeight="251659264" behindDoc="0" locked="0" layoutInCell="1" allowOverlap="1">
          <wp:simplePos x="0" y="0"/>
          <wp:positionH relativeFrom="margin">
            <wp:align>left</wp:align>
          </wp:positionH>
          <wp:positionV relativeFrom="paragraph">
            <wp:posOffset>-356235</wp:posOffset>
          </wp:positionV>
          <wp:extent cx="1029335" cy="578485"/>
          <wp:effectExtent l="0" t="0" r="18415" b="12065"/>
          <wp:wrapNone/>
          <wp:docPr id="15" name="图片 15" descr="文本, 徽标&#10;&#10;描述已自动生成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5" name="图片 15" descr="文本, 徽标&#10;&#10;描述已自动生成"/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029335" cy="57848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rPr>
        <w:rFonts w:hint="eastAsia"/>
        <w:b/>
        <w:bCs/>
        <w:color w:val="0000FF"/>
        <w:sz w:val="28"/>
        <w:szCs w:val="28"/>
        <w14:textFill>
          <w14:gradFill>
            <w14:gsLst>
              <w14:gs w14:pos="0">
                <w14:srgbClr w14:val="FECF40"/>
              </w14:gs>
              <w14:gs w14:pos="100000">
                <w14:srgbClr w14:val="846C21"/>
              </w14:gs>
            </w14:gsLst>
            <w14:lin w14:ang="0" w14:scaled="0"/>
          </w14:gradFill>
        </w14:textFill>
      </w:rPr>
      <w:t>大信穗安税务师事务所(广东)有限公司</w:t>
    </w:r>
  </w:p>
  <w:p w14:paraId="35A89961">
    <w:pPr>
      <w:pStyle w:val="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97D58D50"/>
    <w:multiLevelType w:val="multilevel"/>
    <w:tmpl w:val="97D58D50"/>
    <w:lvl w:ilvl="0" w:tentative="0">
      <w:start w:val="2"/>
      <w:numFmt w:val="decimal"/>
      <w:lvlText w:val="%1"/>
      <w:lvlJc w:val="left"/>
      <w:pPr>
        <w:ind w:left="525" w:hanging="525"/>
      </w:pPr>
      <w:rPr>
        <w:rFonts w:hint="default"/>
        <w:sz w:val="32"/>
      </w:rPr>
    </w:lvl>
    <w:lvl w:ilvl="1" w:tentative="0">
      <w:start w:val="1"/>
      <w:numFmt w:val="decimal"/>
      <w:suff w:val="space"/>
      <w:lvlText w:val="%1.%2"/>
      <w:lvlJc w:val="left"/>
      <w:pPr>
        <w:ind w:left="1140" w:hanging="720"/>
      </w:pPr>
      <w:rPr>
        <w:rFonts w:hint="default"/>
        <w:sz w:val="30"/>
        <w:szCs w:val="30"/>
      </w:rPr>
    </w:lvl>
    <w:lvl w:ilvl="2" w:tentative="0">
      <w:start w:val="1"/>
      <w:numFmt w:val="decimal"/>
      <w:suff w:val="space"/>
      <w:lvlText w:val="%1.%2.%3"/>
      <w:lvlJc w:val="left"/>
      <w:pPr>
        <w:ind w:left="1560" w:hanging="720"/>
      </w:pPr>
      <w:rPr>
        <w:rFonts w:hint="default"/>
        <w:sz w:val="32"/>
      </w:rPr>
    </w:lvl>
    <w:lvl w:ilvl="3" w:tentative="0">
      <w:start w:val="1"/>
      <w:numFmt w:val="decimal"/>
      <w:lvlText w:val="%1.%2.%3.%4"/>
      <w:lvlJc w:val="left"/>
      <w:pPr>
        <w:ind w:left="2340" w:hanging="1080"/>
      </w:pPr>
      <w:rPr>
        <w:rFonts w:hint="default"/>
        <w:sz w:val="32"/>
      </w:rPr>
    </w:lvl>
    <w:lvl w:ilvl="4" w:tentative="0">
      <w:start w:val="1"/>
      <w:numFmt w:val="decimal"/>
      <w:lvlText w:val="%1.%2.%3.%4.%5"/>
      <w:lvlJc w:val="left"/>
      <w:pPr>
        <w:ind w:left="3120" w:hanging="1440"/>
      </w:pPr>
      <w:rPr>
        <w:rFonts w:hint="default"/>
        <w:sz w:val="32"/>
      </w:rPr>
    </w:lvl>
    <w:lvl w:ilvl="5" w:tentative="0">
      <w:start w:val="1"/>
      <w:numFmt w:val="decimal"/>
      <w:lvlText w:val="%1.%2.%3.%4.%5.%6"/>
      <w:lvlJc w:val="left"/>
      <w:pPr>
        <w:ind w:left="3900" w:hanging="1800"/>
      </w:pPr>
      <w:rPr>
        <w:rFonts w:hint="default"/>
        <w:sz w:val="32"/>
      </w:rPr>
    </w:lvl>
    <w:lvl w:ilvl="6" w:tentative="0">
      <w:start w:val="1"/>
      <w:numFmt w:val="decimal"/>
      <w:lvlText w:val="%1.%2.%3.%4.%5.%6.%7"/>
      <w:lvlJc w:val="left"/>
      <w:pPr>
        <w:ind w:left="4680" w:hanging="2160"/>
      </w:pPr>
      <w:rPr>
        <w:rFonts w:hint="default"/>
        <w:sz w:val="32"/>
      </w:rPr>
    </w:lvl>
    <w:lvl w:ilvl="7" w:tentative="0">
      <w:start w:val="1"/>
      <w:numFmt w:val="decimal"/>
      <w:lvlText w:val="%1.%2.%3.%4.%5.%6.%7.%8"/>
      <w:lvlJc w:val="left"/>
      <w:pPr>
        <w:ind w:left="5100" w:hanging="2160"/>
      </w:pPr>
      <w:rPr>
        <w:rFonts w:hint="default"/>
        <w:sz w:val="32"/>
      </w:rPr>
    </w:lvl>
    <w:lvl w:ilvl="8" w:tentative="0">
      <w:start w:val="1"/>
      <w:numFmt w:val="decimal"/>
      <w:lvlText w:val="%1.%2.%3.%4.%5.%6.%7.%8.%9"/>
      <w:lvlJc w:val="left"/>
      <w:pPr>
        <w:ind w:left="5880" w:hanging="2520"/>
      </w:pPr>
      <w:rPr>
        <w:rFonts w:hint="default"/>
        <w:sz w:val="32"/>
      </w:rPr>
    </w:lvl>
  </w:abstractNum>
  <w:abstractNum w:abstractNumId="1">
    <w:nsid w:val="A4E56B41"/>
    <w:multiLevelType w:val="multilevel"/>
    <w:tmpl w:val="A4E56B41"/>
    <w:lvl w:ilvl="0" w:tentative="0">
      <w:start w:val="1"/>
      <w:numFmt w:val="chineseCountingThousand"/>
      <w:lvlText w:val="%1、"/>
      <w:lvlJc w:val="left"/>
      <w:pPr>
        <w:ind w:left="7366" w:hanging="420"/>
      </w:pPr>
      <w:rPr>
        <w:rFonts w:hint="eastAsia"/>
        <w:b/>
        <w:bCs/>
        <w:sz w:val="32"/>
        <w:szCs w:val="32"/>
      </w:rPr>
    </w:lvl>
    <w:lvl w:ilvl="1" w:tentative="0">
      <w:start w:val="1"/>
      <w:numFmt w:val="lowerLetter"/>
      <w:lvlText w:val="%2)"/>
      <w:lvlJc w:val="left"/>
      <w:pPr>
        <w:ind w:left="840" w:hanging="420"/>
      </w:pPr>
    </w:lvl>
    <w:lvl w:ilvl="2" w:tentative="0">
      <w:start w:val="1"/>
      <w:numFmt w:val="lowerRoman"/>
      <w:lvlText w:val="%3."/>
      <w:lvlJc w:val="right"/>
      <w:pPr>
        <w:ind w:left="1260" w:hanging="420"/>
      </w:pPr>
    </w:lvl>
    <w:lvl w:ilvl="3" w:tentative="0">
      <w:start w:val="1"/>
      <w:numFmt w:val="decimal"/>
      <w:lvlText w:val="%4."/>
      <w:lvlJc w:val="left"/>
      <w:pPr>
        <w:ind w:left="1680" w:hanging="420"/>
      </w:pPr>
    </w:lvl>
    <w:lvl w:ilvl="4" w:tentative="0">
      <w:start w:val="1"/>
      <w:numFmt w:val="lowerLetter"/>
      <w:lvlText w:val="%5)"/>
      <w:lvlJc w:val="left"/>
      <w:pPr>
        <w:ind w:left="2100" w:hanging="420"/>
      </w:pPr>
    </w:lvl>
    <w:lvl w:ilvl="5" w:tentative="0">
      <w:start w:val="1"/>
      <w:numFmt w:val="lowerRoman"/>
      <w:lvlText w:val="%6."/>
      <w:lvlJc w:val="right"/>
      <w:pPr>
        <w:ind w:left="2520" w:hanging="420"/>
      </w:pPr>
    </w:lvl>
    <w:lvl w:ilvl="6" w:tentative="0">
      <w:start w:val="1"/>
      <w:numFmt w:val="decimal"/>
      <w:lvlText w:val="%7."/>
      <w:lvlJc w:val="left"/>
      <w:pPr>
        <w:ind w:left="2940" w:hanging="420"/>
      </w:pPr>
    </w:lvl>
    <w:lvl w:ilvl="7" w:tentative="0">
      <w:start w:val="1"/>
      <w:numFmt w:val="lowerLetter"/>
      <w:lvlText w:val="%8)"/>
      <w:lvlJc w:val="left"/>
      <w:pPr>
        <w:ind w:left="3360" w:hanging="420"/>
      </w:pPr>
    </w:lvl>
    <w:lvl w:ilvl="8" w:tentative="0">
      <w:start w:val="1"/>
      <w:numFmt w:val="lowerRoman"/>
      <w:lvlText w:val="%9."/>
      <w:lvlJc w:val="right"/>
      <w:pPr>
        <w:ind w:left="3780" w:hanging="420"/>
      </w:pPr>
    </w:lvl>
  </w:abstractNum>
  <w:abstractNum w:abstractNumId="2">
    <w:nsid w:val="0CBC39D8"/>
    <w:multiLevelType w:val="multilevel"/>
    <w:tmpl w:val="0CBC39D8"/>
    <w:lvl w:ilvl="0" w:tentative="0">
      <w:start w:val="1"/>
      <w:numFmt w:val="upperLetter"/>
      <w:lvlText w:val="%1."/>
      <w:lvlJc w:val="left"/>
      <w:pPr>
        <w:ind w:left="1322" w:hanging="420"/>
      </w:pPr>
      <w:rPr>
        <w:rFonts w:hint="default"/>
        <w:sz w:val="24"/>
        <w:szCs w:val="24"/>
      </w:rPr>
    </w:lvl>
    <w:lvl w:ilvl="1" w:tentative="0">
      <w:start w:val="1"/>
      <w:numFmt w:val="lowerLetter"/>
      <w:lvlText w:val="%2)"/>
      <w:lvlJc w:val="left"/>
      <w:pPr>
        <w:ind w:left="840" w:hanging="420"/>
      </w:pPr>
    </w:lvl>
    <w:lvl w:ilvl="2" w:tentative="0">
      <w:start w:val="1"/>
      <w:numFmt w:val="lowerRoman"/>
      <w:lvlText w:val="%3."/>
      <w:lvlJc w:val="right"/>
      <w:pPr>
        <w:ind w:left="1260" w:hanging="420"/>
      </w:pPr>
    </w:lvl>
    <w:lvl w:ilvl="3" w:tentative="0">
      <w:start w:val="1"/>
      <w:numFmt w:val="decimal"/>
      <w:lvlText w:val="%4."/>
      <w:lvlJc w:val="left"/>
      <w:pPr>
        <w:ind w:left="1680" w:hanging="420"/>
      </w:pPr>
    </w:lvl>
    <w:lvl w:ilvl="4" w:tentative="0">
      <w:start w:val="1"/>
      <w:numFmt w:val="lowerLetter"/>
      <w:lvlText w:val="%5)"/>
      <w:lvlJc w:val="left"/>
      <w:pPr>
        <w:ind w:left="2100" w:hanging="420"/>
      </w:pPr>
    </w:lvl>
    <w:lvl w:ilvl="5" w:tentative="0">
      <w:start w:val="1"/>
      <w:numFmt w:val="lowerRoman"/>
      <w:lvlText w:val="%6."/>
      <w:lvlJc w:val="right"/>
      <w:pPr>
        <w:ind w:left="2520" w:hanging="420"/>
      </w:pPr>
    </w:lvl>
    <w:lvl w:ilvl="6" w:tentative="0">
      <w:start w:val="1"/>
      <w:numFmt w:val="decimal"/>
      <w:lvlText w:val="%7."/>
      <w:lvlJc w:val="left"/>
      <w:pPr>
        <w:ind w:left="2940" w:hanging="420"/>
      </w:pPr>
    </w:lvl>
    <w:lvl w:ilvl="7" w:tentative="0">
      <w:start w:val="1"/>
      <w:numFmt w:val="lowerLetter"/>
      <w:lvlText w:val="%8)"/>
      <w:lvlJc w:val="left"/>
      <w:pPr>
        <w:ind w:left="3360" w:hanging="420"/>
      </w:pPr>
    </w:lvl>
    <w:lvl w:ilvl="8" w:tentative="0">
      <w:start w:val="1"/>
      <w:numFmt w:val="lowerRoman"/>
      <w:lvlText w:val="%9."/>
      <w:lvlJc w:val="right"/>
      <w:pPr>
        <w:ind w:left="3780" w:hanging="420"/>
      </w:pPr>
    </w:lvl>
  </w:abstractNum>
  <w:abstractNum w:abstractNumId="3">
    <w:nsid w:val="3AAC06ED"/>
    <w:multiLevelType w:val="multilevel"/>
    <w:tmpl w:val="3AAC06ED"/>
    <w:lvl w:ilvl="0" w:tentative="0">
      <w:start w:val="1"/>
      <w:numFmt w:val="decimal"/>
      <w:lvlText w:val="（%1）"/>
      <w:lvlJc w:val="left"/>
      <w:pPr>
        <w:ind w:left="1322" w:hanging="420"/>
      </w:pPr>
      <w:rPr>
        <w:rFonts w:hint="default"/>
        <w:sz w:val="24"/>
        <w:szCs w:val="24"/>
      </w:rPr>
    </w:lvl>
    <w:lvl w:ilvl="1" w:tentative="0">
      <w:start w:val="1"/>
      <w:numFmt w:val="lowerLetter"/>
      <w:lvlText w:val="%2)"/>
      <w:lvlJc w:val="left"/>
      <w:pPr>
        <w:ind w:left="840" w:hanging="420"/>
      </w:pPr>
    </w:lvl>
    <w:lvl w:ilvl="2" w:tentative="0">
      <w:start w:val="1"/>
      <w:numFmt w:val="lowerRoman"/>
      <w:lvlText w:val="%3."/>
      <w:lvlJc w:val="right"/>
      <w:pPr>
        <w:ind w:left="1260" w:hanging="420"/>
      </w:pPr>
    </w:lvl>
    <w:lvl w:ilvl="3" w:tentative="0">
      <w:start w:val="1"/>
      <w:numFmt w:val="decimal"/>
      <w:lvlText w:val="%4."/>
      <w:lvlJc w:val="left"/>
      <w:pPr>
        <w:ind w:left="1680" w:hanging="420"/>
      </w:pPr>
    </w:lvl>
    <w:lvl w:ilvl="4" w:tentative="0">
      <w:start w:val="1"/>
      <w:numFmt w:val="lowerLetter"/>
      <w:lvlText w:val="%5)"/>
      <w:lvlJc w:val="left"/>
      <w:pPr>
        <w:ind w:left="2100" w:hanging="420"/>
      </w:pPr>
    </w:lvl>
    <w:lvl w:ilvl="5" w:tentative="0">
      <w:start w:val="1"/>
      <w:numFmt w:val="lowerRoman"/>
      <w:lvlText w:val="%6."/>
      <w:lvlJc w:val="right"/>
      <w:pPr>
        <w:ind w:left="2520" w:hanging="420"/>
      </w:pPr>
    </w:lvl>
    <w:lvl w:ilvl="6" w:tentative="0">
      <w:start w:val="1"/>
      <w:numFmt w:val="decimal"/>
      <w:lvlText w:val="%7."/>
      <w:lvlJc w:val="left"/>
      <w:pPr>
        <w:ind w:left="2940" w:hanging="420"/>
      </w:pPr>
    </w:lvl>
    <w:lvl w:ilvl="7" w:tentative="0">
      <w:start w:val="1"/>
      <w:numFmt w:val="lowerLetter"/>
      <w:lvlText w:val="%8)"/>
      <w:lvlJc w:val="left"/>
      <w:pPr>
        <w:ind w:left="3360" w:hanging="420"/>
      </w:pPr>
    </w:lvl>
    <w:lvl w:ilvl="8" w:tentative="0">
      <w:start w:val="1"/>
      <w:numFmt w:val="lowerRoman"/>
      <w:lvlText w:val="%9."/>
      <w:lvlJc w:val="right"/>
      <w:pPr>
        <w:ind w:left="3780" w:hanging="420"/>
      </w:pPr>
    </w:lvl>
  </w:abstractNum>
  <w:abstractNum w:abstractNumId="4">
    <w:nsid w:val="4BFB2895"/>
    <w:multiLevelType w:val="multilevel"/>
    <w:tmpl w:val="4BFB2895"/>
    <w:lvl w:ilvl="0" w:tentative="0">
      <w:start w:val="1"/>
      <w:numFmt w:val="decimal"/>
      <w:lvlText w:val="%1."/>
      <w:lvlJc w:val="left"/>
      <w:pPr>
        <w:ind w:left="900" w:hanging="420"/>
      </w:pPr>
    </w:lvl>
    <w:lvl w:ilvl="1" w:tentative="0">
      <w:start w:val="1"/>
      <w:numFmt w:val="bullet"/>
      <w:lvlText w:val=""/>
      <w:lvlJc w:val="left"/>
      <w:pPr>
        <w:ind w:left="1320" w:hanging="420"/>
      </w:pPr>
      <w:rPr>
        <w:rFonts w:hint="default" w:ascii="Wingdings" w:hAnsi="Wingdings"/>
      </w:rPr>
    </w:lvl>
    <w:lvl w:ilvl="2" w:tentative="0">
      <w:start w:val="3"/>
      <w:numFmt w:val="decimal"/>
      <w:lvlText w:val="%3、"/>
      <w:lvlJc w:val="left"/>
      <w:pPr>
        <w:ind w:left="1720" w:hanging="400"/>
      </w:pPr>
      <w:rPr>
        <w:rFonts w:hint="default"/>
      </w:rPr>
    </w:lvl>
    <w:lvl w:ilvl="3" w:tentative="0">
      <w:start w:val="1"/>
      <w:numFmt w:val="decimal"/>
      <w:lvlText w:val="%4."/>
      <w:lvlJc w:val="left"/>
      <w:pPr>
        <w:ind w:left="2160" w:hanging="420"/>
      </w:pPr>
    </w:lvl>
    <w:lvl w:ilvl="4" w:tentative="0">
      <w:start w:val="1"/>
      <w:numFmt w:val="lowerLetter"/>
      <w:lvlText w:val="%5)"/>
      <w:lvlJc w:val="left"/>
      <w:pPr>
        <w:ind w:left="2580" w:hanging="420"/>
      </w:pPr>
    </w:lvl>
    <w:lvl w:ilvl="5" w:tentative="0">
      <w:start w:val="1"/>
      <w:numFmt w:val="lowerRoman"/>
      <w:lvlText w:val="%6."/>
      <w:lvlJc w:val="right"/>
      <w:pPr>
        <w:ind w:left="3000" w:hanging="420"/>
      </w:pPr>
    </w:lvl>
    <w:lvl w:ilvl="6" w:tentative="0">
      <w:start w:val="1"/>
      <w:numFmt w:val="decimal"/>
      <w:lvlText w:val="%7."/>
      <w:lvlJc w:val="left"/>
      <w:pPr>
        <w:ind w:left="3420" w:hanging="420"/>
      </w:pPr>
    </w:lvl>
    <w:lvl w:ilvl="7" w:tentative="0">
      <w:start w:val="1"/>
      <w:numFmt w:val="lowerLetter"/>
      <w:lvlText w:val="%8)"/>
      <w:lvlJc w:val="left"/>
      <w:pPr>
        <w:ind w:left="3840" w:hanging="420"/>
      </w:pPr>
    </w:lvl>
    <w:lvl w:ilvl="8" w:tentative="0">
      <w:start w:val="1"/>
      <w:numFmt w:val="lowerRoman"/>
      <w:lvlText w:val="%9."/>
      <w:lvlJc w:val="right"/>
      <w:pPr>
        <w:ind w:left="4260" w:hanging="420"/>
      </w:pPr>
    </w:lvl>
  </w:abstractNum>
  <w:abstractNum w:abstractNumId="5">
    <w:nsid w:val="4D980078"/>
    <w:multiLevelType w:val="multilevel"/>
    <w:tmpl w:val="4D980078"/>
    <w:lvl w:ilvl="0" w:tentative="0">
      <w:start w:val="1"/>
      <w:numFmt w:val="chineseCountingThousand"/>
      <w:lvlText w:val="(%1)"/>
      <w:lvlJc w:val="left"/>
      <w:pPr>
        <w:ind w:left="902" w:hanging="420"/>
      </w:pPr>
    </w:lvl>
    <w:lvl w:ilvl="1" w:tentative="0">
      <w:start w:val="1"/>
      <w:numFmt w:val="decimal"/>
      <w:lvlText w:val="（%2）"/>
      <w:lvlJc w:val="left"/>
      <w:pPr>
        <w:ind w:left="1322" w:hanging="420"/>
      </w:pPr>
      <w:rPr>
        <w:rFonts w:hint="default"/>
        <w:sz w:val="24"/>
        <w:szCs w:val="24"/>
      </w:rPr>
    </w:lvl>
    <w:lvl w:ilvl="2" w:tentative="0">
      <w:start w:val="1"/>
      <w:numFmt w:val="lowerRoman"/>
      <w:lvlText w:val="%3."/>
      <w:lvlJc w:val="right"/>
      <w:pPr>
        <w:ind w:left="1742" w:hanging="420"/>
      </w:pPr>
    </w:lvl>
    <w:lvl w:ilvl="3" w:tentative="0">
      <w:start w:val="1"/>
      <w:numFmt w:val="decimal"/>
      <w:lvlText w:val="%4."/>
      <w:lvlJc w:val="left"/>
      <w:pPr>
        <w:ind w:left="2162" w:hanging="420"/>
      </w:pPr>
    </w:lvl>
    <w:lvl w:ilvl="4" w:tentative="0">
      <w:start w:val="1"/>
      <w:numFmt w:val="lowerLetter"/>
      <w:lvlText w:val="%5)"/>
      <w:lvlJc w:val="left"/>
      <w:pPr>
        <w:ind w:left="2582" w:hanging="420"/>
      </w:pPr>
    </w:lvl>
    <w:lvl w:ilvl="5" w:tentative="0">
      <w:start w:val="1"/>
      <w:numFmt w:val="lowerRoman"/>
      <w:lvlText w:val="%6."/>
      <w:lvlJc w:val="right"/>
      <w:pPr>
        <w:ind w:left="3002" w:hanging="420"/>
      </w:pPr>
    </w:lvl>
    <w:lvl w:ilvl="6" w:tentative="0">
      <w:start w:val="1"/>
      <w:numFmt w:val="decimal"/>
      <w:lvlText w:val="%7."/>
      <w:lvlJc w:val="left"/>
      <w:pPr>
        <w:ind w:left="3422" w:hanging="420"/>
      </w:pPr>
    </w:lvl>
    <w:lvl w:ilvl="7" w:tentative="0">
      <w:start w:val="1"/>
      <w:numFmt w:val="lowerLetter"/>
      <w:lvlText w:val="%8)"/>
      <w:lvlJc w:val="left"/>
      <w:pPr>
        <w:ind w:left="3842" w:hanging="420"/>
      </w:pPr>
    </w:lvl>
    <w:lvl w:ilvl="8" w:tentative="0">
      <w:start w:val="1"/>
      <w:numFmt w:val="lowerRoman"/>
      <w:lvlText w:val="%9."/>
      <w:lvlJc w:val="right"/>
      <w:pPr>
        <w:ind w:left="4262" w:hanging="420"/>
      </w:pPr>
    </w:lvl>
  </w:abstractNum>
  <w:abstractNum w:abstractNumId="6">
    <w:nsid w:val="4DA03E66"/>
    <w:multiLevelType w:val="multilevel"/>
    <w:tmpl w:val="4DA03E66"/>
    <w:lvl w:ilvl="0" w:tentative="0">
      <w:start w:val="1"/>
      <w:numFmt w:val="decimal"/>
      <w:lvlText w:val="%1."/>
      <w:lvlJc w:val="left"/>
      <w:pPr>
        <w:ind w:left="440" w:hanging="440"/>
      </w:pPr>
    </w:lvl>
    <w:lvl w:ilvl="1" w:tentative="0">
      <w:start w:val="1"/>
      <w:numFmt w:val="lowerLetter"/>
      <w:lvlText w:val="%2)"/>
      <w:lvlJc w:val="left"/>
      <w:pPr>
        <w:ind w:left="880" w:hanging="440"/>
      </w:pPr>
    </w:lvl>
    <w:lvl w:ilvl="2" w:tentative="0">
      <w:start w:val="1"/>
      <w:numFmt w:val="lowerRoman"/>
      <w:lvlText w:val="%3."/>
      <w:lvlJc w:val="right"/>
      <w:pPr>
        <w:ind w:left="1320" w:hanging="440"/>
      </w:pPr>
    </w:lvl>
    <w:lvl w:ilvl="3" w:tentative="0">
      <w:start w:val="1"/>
      <w:numFmt w:val="decimal"/>
      <w:lvlText w:val="%4."/>
      <w:lvlJc w:val="left"/>
      <w:pPr>
        <w:ind w:left="1760" w:hanging="440"/>
      </w:pPr>
    </w:lvl>
    <w:lvl w:ilvl="4" w:tentative="0">
      <w:start w:val="1"/>
      <w:numFmt w:val="lowerLetter"/>
      <w:lvlText w:val="%5)"/>
      <w:lvlJc w:val="left"/>
      <w:pPr>
        <w:ind w:left="2200" w:hanging="440"/>
      </w:pPr>
    </w:lvl>
    <w:lvl w:ilvl="5" w:tentative="0">
      <w:start w:val="1"/>
      <w:numFmt w:val="lowerRoman"/>
      <w:lvlText w:val="%6."/>
      <w:lvlJc w:val="right"/>
      <w:pPr>
        <w:ind w:left="2640" w:hanging="440"/>
      </w:pPr>
    </w:lvl>
    <w:lvl w:ilvl="6" w:tentative="0">
      <w:start w:val="1"/>
      <w:numFmt w:val="decimal"/>
      <w:lvlText w:val="%7."/>
      <w:lvlJc w:val="left"/>
      <w:pPr>
        <w:ind w:left="3080" w:hanging="440"/>
      </w:pPr>
    </w:lvl>
    <w:lvl w:ilvl="7" w:tentative="0">
      <w:start w:val="1"/>
      <w:numFmt w:val="lowerLetter"/>
      <w:lvlText w:val="%8)"/>
      <w:lvlJc w:val="left"/>
      <w:pPr>
        <w:ind w:left="3520" w:hanging="440"/>
      </w:pPr>
    </w:lvl>
    <w:lvl w:ilvl="8" w:tentative="0">
      <w:start w:val="1"/>
      <w:numFmt w:val="lowerRoman"/>
      <w:lvlText w:val="%9."/>
      <w:lvlJc w:val="right"/>
      <w:pPr>
        <w:ind w:left="3960" w:hanging="440"/>
      </w:pPr>
    </w:lvl>
  </w:abstractNum>
  <w:num w:numId="1">
    <w:abstractNumId w:val="1"/>
  </w:num>
  <w:num w:numId="2">
    <w:abstractNumId w:val="0"/>
  </w:num>
  <w:num w:numId="3">
    <w:abstractNumId w:val="5"/>
  </w:num>
  <w:num w:numId="4">
    <w:abstractNumId w:val="3"/>
  </w:num>
  <w:num w:numId="5">
    <w:abstractNumId w:val="2"/>
  </w:num>
  <w:num w:numId="6">
    <w:abstractNumId w:val="4"/>
  </w:num>
  <w:num w:numId="7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8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F8B14B1"/>
    <w:rsid w:val="16022CA4"/>
    <w:rsid w:val="396E68F3"/>
    <w:rsid w:val="66B2382E"/>
    <w:rsid w:val="6F8B14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39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0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position w:val="2"/>
      <w:sz w:val="21"/>
      <w:szCs w:val="21"/>
      <w:lang w:val="en-US" w:eastAsia="zh-CN" w:bidi="ar-SA"/>
    </w:rPr>
  </w:style>
  <w:style w:type="character" w:default="1" w:styleId="6">
    <w:name w:val="Default Paragraph Font"/>
    <w:semiHidden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table" w:styleId="5">
    <w:name w:val="Table Grid"/>
    <w:basedOn w:val="4"/>
    <w:qFormat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styleId="7">
    <w:name w:val="List Paragraph"/>
    <w:basedOn w:val="1"/>
    <w:qFormat/>
    <w:uiPriority w:val="0"/>
    <w:pPr>
      <w:ind w:firstLine="420" w:firstLineChars="200"/>
    </w:pPr>
  </w:style>
  <w:style w:type="paragraph" w:customStyle="1" w:styleId="8">
    <w:name w:val="_正文"/>
    <w:basedOn w:val="1"/>
    <w:qFormat/>
    <w:uiPriority w:val="0"/>
    <w:pPr>
      <w:adjustRightInd w:val="0"/>
      <w:snapToGrid w:val="0"/>
      <w:spacing w:line="360" w:lineRule="auto"/>
      <w:ind w:firstLine="200" w:firstLineChars="200"/>
    </w:pPr>
    <w:rPr>
      <w:rFonts w:ascii="Calibri" w:hAnsi="Calibri" w:cs="黑体"/>
      <w:kern w:val="24"/>
      <w:position w:val="0"/>
      <w:sz w:val="24"/>
      <w:szCs w:val="22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numbering" Target="numbering.xml"/><Relationship Id="rId7" Type="http://schemas.openxmlformats.org/officeDocument/2006/relationships/customXml" Target="../customXml/item1.xml"/><Relationship Id="rId6" Type="http://schemas.openxmlformats.org/officeDocument/2006/relationships/image" Target="media/image2.png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9</Pages>
  <Words>3378</Words>
  <Characters>3401</Characters>
  <Lines>0</Lines>
  <Paragraphs>0</Paragraphs>
  <TotalTime>2</TotalTime>
  <ScaleCrop>false</ScaleCrop>
  <LinksUpToDate>false</LinksUpToDate>
  <CharactersWithSpaces>3403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2026-09-04T03:12:00Z</dcterms:created>
  <dc:creator>WPS_1625272678</dc:creator>
  <cp:lastModifiedBy>WPS_1625272678</cp:lastModifiedBy>
  <dcterms:modified xsi:type="dcterms:W3CDTF">2026-09-04T06:25:59Z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72251F02AB4F4EF299889C9684FE4492_11</vt:lpwstr>
  </property>
  <property fmtid="{D5CDD505-2E9C-101B-9397-08002B2CF9AE}" pid="4" name="KSOTemplateDocerSaveRecord">
    <vt:lpwstr>eyJoZGlkIjoiMjlmODhkN2M0MmUyNmZkMTE4NmQxMDFkYzQ2ZjQ4MTgiLCJ1c2VySWQiOiIxMjMyOTEzMzU4In0=</vt:lpwstr>
  </property>
</Properties>
</file>